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30D404" w14:textId="2240DBE1" w:rsidR="00184B91" w:rsidRPr="00175A53" w:rsidRDefault="00000000" w:rsidP="00175A53">
      <w:pPr>
        <w:pStyle w:val="Title"/>
        <w:jc w:val="center"/>
        <w:rPr>
          <w:lang w:val="vi-VN"/>
        </w:rPr>
      </w:pPr>
      <w:r>
        <w:t xml:space="preserve">Đề án chiến </w:t>
      </w:r>
      <w:proofErr w:type="spellStart"/>
      <w:r>
        <w:t>lược</w:t>
      </w:r>
      <w:proofErr w:type="spellEnd"/>
      <w:r>
        <w:t xml:space="preserve"> ST </w:t>
      </w:r>
      <w:proofErr w:type="spellStart"/>
      <w:r>
        <w:t>của</w:t>
      </w:r>
      <w:proofErr w:type="spellEnd"/>
      <w:r>
        <w:t xml:space="preserve"> </w:t>
      </w:r>
      <w:proofErr w:type="spellStart"/>
      <w:r>
        <w:t>Vietravel</w:t>
      </w:r>
      <w:proofErr w:type="spellEnd"/>
    </w:p>
    <w:p w14:paraId="0E425C3F" w14:textId="77777777" w:rsidR="00184B91" w:rsidRDefault="00000000">
      <w:pPr>
        <w:pStyle w:val="Heading1"/>
      </w:pPr>
      <w:r>
        <w:t xml:space="preserve">1 </w:t>
      </w:r>
      <w:proofErr w:type="spellStart"/>
      <w:r>
        <w:t>Chuyển</w:t>
      </w:r>
      <w:proofErr w:type="spellEnd"/>
      <w:r>
        <w:t xml:space="preserve"> </w:t>
      </w:r>
      <w:proofErr w:type="spellStart"/>
      <w:r>
        <w:t>từ</w:t>
      </w:r>
      <w:proofErr w:type="spellEnd"/>
      <w:r>
        <w:t xml:space="preserve"> </w:t>
      </w:r>
      <w:proofErr w:type="spellStart"/>
      <w:r>
        <w:t>phòng</w:t>
      </w:r>
      <w:proofErr w:type="spellEnd"/>
      <w:r>
        <w:t xml:space="preserve"> ngự sang tiến công</w:t>
      </w:r>
    </w:p>
    <w:p w14:paraId="22D9989B" w14:textId="77777777" w:rsidR="00184B91" w:rsidRDefault="00000000">
      <w:r>
        <w:rPr>
          <w:b/>
        </w:rPr>
        <w:t>S–T thụ động:</w:t>
      </w:r>
      <w:r>
        <w:t xml:space="preserve"> dùng S1 để bù lỗ, duy trì bộ máy và chờ nhu cầu phục hồi. Cách này bảo vệ hoạt động trước mắt nhưng tiền mặt giảm dần, trong khi cơ cấu tour cao cấp vẫn chịu tác động của T1.</w:t>
      </w:r>
    </w:p>
    <w:p w14:paraId="10C0433C" w14:textId="77777777" w:rsidR="00184B91" w:rsidRDefault="00000000">
      <w:r>
        <w:rPr>
          <w:b/>
        </w:rPr>
        <w:t>S–T chủ động:</w:t>
      </w:r>
      <w:r>
        <w:t xml:space="preserve"> phối hợp S1 với S2 để chuyển sang tour nội địa hợp túi tiền, khai thác ghế bay và phòng trống, đồng thời tiếp nhận khách hàng ở những thị trường đối thủ rút lui. Tiền được đầu tư có thời hạn, gắn với hiệu quả từng tuyến và khả năng khách quay lại.</w:t>
      </w:r>
    </w:p>
    <w:p w14:paraId="3AE00EDE" w14:textId="77777777" w:rsidR="00184B91" w:rsidRDefault="00000000">
      <w:r>
        <w:t>Cả hai đều dùng thế mạnh để đối phó thách thức; điểm khác là cách tạo doanh thu tương lai. T2 còn gây đứt gãy nhà cung cấp, nên mở rộng thị phần phải đi cùng kiểm tra năng lực đối tác và phương án thay thế. Lợi thế thương hiệu giúp củng cố niềm tin khi thị trường bất ổn.</w:t>
      </w:r>
    </w:p>
    <w:p w14:paraId="40A72BB9" w14:textId="77777777" w:rsidR="00184B91" w:rsidRDefault="00000000">
      <w:pPr>
        <w:pStyle w:val="Heading1"/>
      </w:pPr>
      <w:r>
        <w:t>2 Gói kích cầu tích hợp lữ hành và hàng không</w:t>
      </w:r>
    </w:p>
    <w:p w14:paraId="68452036" w14:textId="77777777" w:rsidR="00184B91" w:rsidRDefault="00000000">
      <w:r>
        <w:t>Chương trình “Du lịch nội địa trọn gói chất lượng 5 sao – Giá 3 sao” hướng tới gia đình và người đi làm chuyển từ tour xa sang nghỉ ngắn ngày. Thí điểm tuyến Hà Nội – Đà Nẵng 3 ngày 2 đêm vào ngày thấp điểm, tùy năng lực khai thác.</w:t>
      </w:r>
    </w:p>
    <w:p w14:paraId="3EF1A6D0" w14:textId="77777777" w:rsidR="00184B91" w:rsidRDefault="00000000">
      <w:r>
        <w:rPr>
          <w:b/>
        </w:rPr>
        <w:t>Cấu trúc gói:</w:t>
      </w:r>
      <w:r>
        <w:t xml:space="preserve"> vé máy bay khứ hồi Vietravel Airlines, 2 đêm khách sạn 5 sao với 2 người/phòng, bữa ăn theo lịch trình, xe đưa đón, tham quan và bảo hiểm. Công bố rõ hành lý, khoản bao gồm, phụ thu và điều kiện đổi hủy; tiêu chuẩn 5 sao áp dụng cho khách sạn.</w:t>
      </w:r>
    </w:p>
    <w:p w14:paraId="57994251" w14:textId="77777777" w:rsidR="00184B91" w:rsidRDefault="00000000">
      <w:r>
        <w:rPr>
          <w:b/>
        </w:rPr>
        <w:t>Cơ chế giá:</w:t>
      </w:r>
      <w:r>
        <w:t xml:space="preserve"> S1 hỗ trợ đặt cọc có giới hạn; S2 điều phối chuyến bay và gom khách để đàm phán giá phòng theo sản lượng. Chỉ ứng trước theo tiến độ cho đối tác đủ năng lực, có khách sạn và xe dự phòng để giảm rủi ro T2.</w:t>
      </w:r>
    </w:p>
    <w:p w14:paraId="2D920594" w14:textId="77777777" w:rsidR="00184B91" w:rsidRDefault="00000000">
      <w:r>
        <w:t>Minh họa giá bán 4,99 triệu đồng/khách, chi phí biến đổi 4,69 triệu đồng, tạo mức đóng góp 0,30 triệu đồng trước chi phí cố định. Đây là giả định cần kiểm chứng bằng báo giá; tính chi phí thực ở cấp toàn hệ sinh thái, kể cả vận hành chuyến bay.</w:t>
      </w:r>
    </w:p>
    <w:p w14:paraId="55ECC4AC" w14:textId="77777777" w:rsidR="00184B91" w:rsidRDefault="00000000">
      <w:r>
        <w:t>Thực hiện trong 90 ngày: 30 ngày đầu chọn nhà cung cấp và mở bán; 60 ngày sau khai thác thử, đánh giá hằng tuần. Phân phối qua ứng dụng, website và 40 chi nhánh, ưu tiên địa bàn đối thủ rút lui và liên kết đại lý còn hoạt động. Chỉ mở rộng khi lấp đầy ít nhất 80% số chỗ dành cho gói, đóng góp sau khuyến mãi dương và chất lượng dịch vụ ổn định. Trợ giá phải nằm trong ngân sách tiêu hao đã duyệt.</w:t>
      </w:r>
    </w:p>
    <w:p w14:paraId="7741E661" w14:textId="77777777" w:rsidR="00184B91" w:rsidRDefault="00000000">
      <w:pPr>
        <w:pStyle w:val="Heading1"/>
        <w:pageBreakBefore/>
      </w:pPr>
      <w:r>
        <w:lastRenderedPageBreak/>
        <w:t>3 Kiểm soát tốc độ tiêu hao tiền mặt</w:t>
      </w:r>
    </w:p>
    <w:p w14:paraId="363006A8" w14:textId="77777777" w:rsidR="00184B91" w:rsidRDefault="00000000">
      <w:r>
        <w:t>Giả định 35 tỷ đồng/tháng là tiền mặt tiêu hao ròng sau thu chi vận hành, đã gồm trợ giá và duy trì bộ máy; chưa gồm M&amp;A hay nghĩa vụ phát sinh ngoài kế hoạch. Không cộng doanh thu dự kiến thêm lần nữa.</w:t>
      </w:r>
    </w:p>
    <w:p w14:paraId="6B7C38C4" w14:textId="77777777" w:rsidR="00184B91" w:rsidRDefault="00000000">
      <w:pPr>
        <w:keepNext/>
      </w:pPr>
      <w:r>
        <w:rPr>
          <w:b/>
        </w:rPr>
        <w:t>Bảng dòng tiền cơ sở với quỹ đầu kỳ 850 tỷ đồng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312"/>
        <w:gridCol w:w="3312"/>
      </w:tblGrid>
      <w:tr w:rsidR="00184B91" w14:paraId="260CF0F2" w14:textId="77777777">
        <w:trPr>
          <w:cantSplit/>
          <w:tblHeader/>
          <w:jc w:val="center"/>
        </w:trPr>
        <w:tc>
          <w:tcPr>
            <w:tcW w:w="3312" w:type="dxa"/>
            <w:shd w:val="clear" w:color="auto" w:fill="E7EBF0"/>
            <w:tcMar>
              <w:top w:w="80" w:type="dxa"/>
              <w:left w:w="100" w:type="dxa"/>
              <w:bottom w:w="80" w:type="dxa"/>
              <w:right w:w="100" w:type="dxa"/>
            </w:tcMar>
            <w:vAlign w:val="center"/>
          </w:tcPr>
          <w:p w14:paraId="179A99F6" w14:textId="77777777" w:rsidR="00184B91" w:rsidRDefault="00000000">
            <w:pPr>
              <w:spacing w:after="0" w:line="240" w:lineRule="auto"/>
            </w:pPr>
            <w:r>
              <w:rPr>
                <w:b/>
                <w:sz w:val="23"/>
              </w:rPr>
              <w:t>Thời điểm</w:t>
            </w:r>
          </w:p>
        </w:tc>
        <w:tc>
          <w:tcPr>
            <w:tcW w:w="3312" w:type="dxa"/>
            <w:shd w:val="clear" w:color="auto" w:fill="E7EBF0"/>
            <w:tcMar>
              <w:top w:w="80" w:type="dxa"/>
              <w:left w:w="100" w:type="dxa"/>
              <w:bottom w:w="80" w:type="dxa"/>
              <w:right w:w="100" w:type="dxa"/>
            </w:tcMar>
            <w:vAlign w:val="center"/>
          </w:tcPr>
          <w:p w14:paraId="21113548" w14:textId="77777777" w:rsidR="00184B91" w:rsidRDefault="00000000">
            <w:pPr>
              <w:spacing w:after="0" w:line="240" w:lineRule="auto"/>
              <w:jc w:val="center"/>
            </w:pPr>
            <w:r>
              <w:rPr>
                <w:b/>
                <w:sz w:val="23"/>
              </w:rPr>
              <w:t>Tiêu hao lũy kế</w:t>
            </w:r>
            <w:r>
              <w:rPr>
                <w:b/>
                <w:sz w:val="23"/>
              </w:rPr>
              <w:br/>
              <w:t>(tỷ đồng)</w:t>
            </w:r>
          </w:p>
        </w:tc>
        <w:tc>
          <w:tcPr>
            <w:tcW w:w="3312" w:type="dxa"/>
            <w:shd w:val="clear" w:color="auto" w:fill="E7EBF0"/>
            <w:tcMar>
              <w:top w:w="80" w:type="dxa"/>
              <w:left w:w="100" w:type="dxa"/>
              <w:bottom w:w="80" w:type="dxa"/>
              <w:right w:w="100" w:type="dxa"/>
            </w:tcMar>
            <w:vAlign w:val="center"/>
          </w:tcPr>
          <w:p w14:paraId="2C35C680" w14:textId="77777777" w:rsidR="00184B91" w:rsidRDefault="00000000">
            <w:pPr>
              <w:spacing w:after="0" w:line="240" w:lineRule="auto"/>
              <w:jc w:val="center"/>
            </w:pPr>
            <w:r>
              <w:rPr>
                <w:b/>
                <w:sz w:val="23"/>
              </w:rPr>
              <w:t>Tiền mặt còn lại</w:t>
            </w:r>
            <w:r>
              <w:rPr>
                <w:b/>
                <w:sz w:val="23"/>
              </w:rPr>
              <w:br/>
              <w:t>(tỷ đồng)</w:t>
            </w:r>
          </w:p>
        </w:tc>
      </w:tr>
      <w:tr w:rsidR="00184B91" w14:paraId="2929DA29" w14:textId="77777777">
        <w:trPr>
          <w:cantSplit/>
          <w:jc w:val="center"/>
        </w:trPr>
        <w:tc>
          <w:tcPr>
            <w:tcW w:w="3312" w:type="dxa"/>
            <w:tcMar>
              <w:top w:w="80" w:type="dxa"/>
              <w:left w:w="100" w:type="dxa"/>
              <w:bottom w:w="80" w:type="dxa"/>
              <w:right w:w="100" w:type="dxa"/>
            </w:tcMar>
            <w:vAlign w:val="center"/>
          </w:tcPr>
          <w:p w14:paraId="59844296" w14:textId="77777777" w:rsidR="00184B91" w:rsidRDefault="00000000">
            <w:pPr>
              <w:spacing w:after="0" w:line="240" w:lineRule="auto"/>
            </w:pPr>
            <w:r>
              <w:rPr>
                <w:sz w:val="23"/>
              </w:rPr>
              <w:t>Tháng 12</w:t>
            </w:r>
          </w:p>
        </w:tc>
        <w:tc>
          <w:tcPr>
            <w:tcW w:w="3312" w:type="dxa"/>
            <w:tcMar>
              <w:top w:w="80" w:type="dxa"/>
              <w:left w:w="100" w:type="dxa"/>
              <w:bottom w:w="80" w:type="dxa"/>
              <w:right w:w="100" w:type="dxa"/>
            </w:tcMar>
            <w:vAlign w:val="center"/>
          </w:tcPr>
          <w:p w14:paraId="41FB6A0E" w14:textId="77777777" w:rsidR="00184B91" w:rsidRDefault="00000000">
            <w:pPr>
              <w:spacing w:after="0" w:line="240" w:lineRule="auto"/>
              <w:jc w:val="center"/>
            </w:pPr>
            <w:r>
              <w:rPr>
                <w:sz w:val="23"/>
              </w:rPr>
              <w:t>35 × 12 = 420</w:t>
            </w:r>
          </w:p>
        </w:tc>
        <w:tc>
          <w:tcPr>
            <w:tcW w:w="3312" w:type="dxa"/>
            <w:tcMar>
              <w:top w:w="80" w:type="dxa"/>
              <w:left w:w="100" w:type="dxa"/>
              <w:bottom w:w="80" w:type="dxa"/>
              <w:right w:w="100" w:type="dxa"/>
            </w:tcMar>
            <w:vAlign w:val="center"/>
          </w:tcPr>
          <w:p w14:paraId="652074B3" w14:textId="77777777" w:rsidR="00184B91" w:rsidRDefault="00000000">
            <w:pPr>
              <w:spacing w:after="0" w:line="240" w:lineRule="auto"/>
              <w:jc w:val="center"/>
            </w:pPr>
            <w:r>
              <w:rPr>
                <w:sz w:val="23"/>
              </w:rPr>
              <w:t>850 − 420 = 430</w:t>
            </w:r>
          </w:p>
        </w:tc>
      </w:tr>
      <w:tr w:rsidR="00184B91" w14:paraId="1F2977B3" w14:textId="77777777">
        <w:trPr>
          <w:cantSplit/>
          <w:jc w:val="center"/>
        </w:trPr>
        <w:tc>
          <w:tcPr>
            <w:tcW w:w="3312" w:type="dxa"/>
            <w:tcMar>
              <w:top w:w="80" w:type="dxa"/>
              <w:left w:w="100" w:type="dxa"/>
              <w:bottom w:w="80" w:type="dxa"/>
              <w:right w:w="100" w:type="dxa"/>
            </w:tcMar>
            <w:vAlign w:val="center"/>
          </w:tcPr>
          <w:p w14:paraId="45A31649" w14:textId="77777777" w:rsidR="00184B91" w:rsidRDefault="00000000">
            <w:pPr>
              <w:spacing w:after="0" w:line="240" w:lineRule="auto"/>
            </w:pPr>
            <w:r>
              <w:rPr>
                <w:sz w:val="23"/>
              </w:rPr>
              <w:t>Tháng 18</w:t>
            </w:r>
          </w:p>
        </w:tc>
        <w:tc>
          <w:tcPr>
            <w:tcW w:w="3312" w:type="dxa"/>
            <w:tcMar>
              <w:top w:w="80" w:type="dxa"/>
              <w:left w:w="100" w:type="dxa"/>
              <w:bottom w:w="80" w:type="dxa"/>
              <w:right w:w="100" w:type="dxa"/>
            </w:tcMar>
            <w:vAlign w:val="center"/>
          </w:tcPr>
          <w:p w14:paraId="1C9ABBA0" w14:textId="77777777" w:rsidR="00184B91" w:rsidRDefault="00000000">
            <w:pPr>
              <w:spacing w:after="0" w:line="240" w:lineRule="auto"/>
              <w:jc w:val="center"/>
            </w:pPr>
            <w:r>
              <w:rPr>
                <w:sz w:val="23"/>
              </w:rPr>
              <w:t>35 × 18 = 630</w:t>
            </w:r>
          </w:p>
        </w:tc>
        <w:tc>
          <w:tcPr>
            <w:tcW w:w="3312" w:type="dxa"/>
            <w:tcMar>
              <w:top w:w="80" w:type="dxa"/>
              <w:left w:w="100" w:type="dxa"/>
              <w:bottom w:w="80" w:type="dxa"/>
              <w:right w:w="100" w:type="dxa"/>
            </w:tcMar>
            <w:vAlign w:val="center"/>
          </w:tcPr>
          <w:p w14:paraId="771C9913" w14:textId="77777777" w:rsidR="00184B91" w:rsidRDefault="00000000">
            <w:pPr>
              <w:spacing w:after="0" w:line="240" w:lineRule="auto"/>
              <w:jc w:val="center"/>
            </w:pPr>
            <w:r>
              <w:rPr>
                <w:sz w:val="23"/>
              </w:rPr>
              <w:t>850 − 630 = 220</w:t>
            </w:r>
          </w:p>
        </w:tc>
      </w:tr>
      <w:tr w:rsidR="00184B91" w14:paraId="690C0F2C" w14:textId="77777777">
        <w:trPr>
          <w:cantSplit/>
          <w:jc w:val="center"/>
        </w:trPr>
        <w:tc>
          <w:tcPr>
            <w:tcW w:w="3312" w:type="dxa"/>
            <w:tcMar>
              <w:top w:w="80" w:type="dxa"/>
              <w:left w:w="100" w:type="dxa"/>
              <w:bottom w:w="80" w:type="dxa"/>
              <w:right w:w="100" w:type="dxa"/>
            </w:tcMar>
            <w:vAlign w:val="center"/>
          </w:tcPr>
          <w:p w14:paraId="14E1C301" w14:textId="77777777" w:rsidR="00184B91" w:rsidRDefault="00000000">
            <w:pPr>
              <w:spacing w:after="0" w:line="240" w:lineRule="auto"/>
            </w:pPr>
            <w:r>
              <w:rPr>
                <w:sz w:val="23"/>
              </w:rPr>
              <w:t>Tháng 24</w:t>
            </w:r>
          </w:p>
        </w:tc>
        <w:tc>
          <w:tcPr>
            <w:tcW w:w="3312" w:type="dxa"/>
            <w:tcMar>
              <w:top w:w="80" w:type="dxa"/>
              <w:left w:w="100" w:type="dxa"/>
              <w:bottom w:w="80" w:type="dxa"/>
              <w:right w:w="100" w:type="dxa"/>
            </w:tcMar>
            <w:vAlign w:val="center"/>
          </w:tcPr>
          <w:p w14:paraId="3402C0F3" w14:textId="77777777" w:rsidR="00184B91" w:rsidRDefault="00000000">
            <w:pPr>
              <w:spacing w:after="0" w:line="240" w:lineRule="auto"/>
              <w:jc w:val="center"/>
            </w:pPr>
            <w:r>
              <w:rPr>
                <w:sz w:val="23"/>
              </w:rPr>
              <w:t>35 × 24 = 840</w:t>
            </w:r>
          </w:p>
        </w:tc>
        <w:tc>
          <w:tcPr>
            <w:tcW w:w="3312" w:type="dxa"/>
            <w:tcMar>
              <w:top w:w="80" w:type="dxa"/>
              <w:left w:w="100" w:type="dxa"/>
              <w:bottom w:w="80" w:type="dxa"/>
              <w:right w:w="100" w:type="dxa"/>
            </w:tcMar>
            <w:vAlign w:val="center"/>
          </w:tcPr>
          <w:p w14:paraId="68B0FDF8" w14:textId="77777777" w:rsidR="00184B91" w:rsidRDefault="00000000">
            <w:pPr>
              <w:spacing w:after="0" w:line="240" w:lineRule="auto"/>
              <w:jc w:val="center"/>
            </w:pPr>
            <w:r>
              <w:rPr>
                <w:sz w:val="23"/>
              </w:rPr>
              <w:t>850 − 840 = 10</w:t>
            </w:r>
          </w:p>
        </w:tc>
      </w:tr>
    </w:tbl>
    <w:p w14:paraId="0EAF0366" w14:textId="77777777" w:rsidR="00184B91" w:rsidRDefault="00000000">
      <w:pPr>
        <w:spacing w:before="120"/>
      </w:pPr>
      <w:r>
        <w:t>Thời gian duy trì lý thuyết là 850 ÷ 35 ≈ 24,29 tháng. Sau 24 tháng chỉ còn 10 tỷ đồng, tương đương khoảng 0,29 tháng chi tiêu. Vì vậy, đủ theo phép tính cơ học nhưng không an toàn trước hoàn tiền tour, biến động nhiên liệu hoặc chậm thu tiền.</w:t>
      </w:r>
    </w:p>
    <w:p w14:paraId="6B220F8F" w14:textId="77777777" w:rsidR="00184B91" w:rsidRDefault="00000000">
      <w:r>
        <w:rPr>
          <w:b/>
        </w:rPr>
        <w:t>Cảnh báo đỏ:</w:t>
      </w:r>
      <w:r>
        <w:t xml:space="preserve"> tiền mặt khả dụng xuống mức 210 tỷ đồng hoặc thấp hơn, tương đương 6 tháng tiêu hao theo kịch bản cơ sở; hoặc dự báo dòng tiền 13 tuần xuất hiện thiếu hụt thanh toán. Nếu không điều chỉnh, ngưỡng 210 tỷ bị chạm sau khoảng 18,29 tháng, tức trong tháng 19.</w:t>
      </w:r>
    </w:p>
    <w:p w14:paraId="14BBC0EF" w14:textId="77777777" w:rsidR="00184B91" w:rsidRDefault="00000000">
      <w:r>
        <w:rPr>
          <w:b/>
        </w:rPr>
        <w:t>Hành động:</w:t>
      </w:r>
      <w:r>
        <w:t xml:space="preserve"> giảm trợ giá, dừng mở tuyến và thương vụ mới, thu hồi công nợ, đàm phán lịch thanh toán. Muốn giữ 210 tỷ sau 24 tháng, tổng tiêu hao tối đa là 640 tỷ, bình quân khoảng 26,67 tỷ đồng/tháng, chưa gồm M&amp;A. Áp dụng giới hạn từ đầu kỳ và theo dõi hằng tuần.</w:t>
      </w:r>
    </w:p>
    <w:p w14:paraId="01E55E87" w14:textId="77777777" w:rsidR="00184B91" w:rsidRDefault="00000000">
      <w:r>
        <w:t>Hạn mức tín dụng 1.200 tỷ đồng là nguồn dự phòng, không đồng nhất với tiền sẵn có. Chỉ đưa vào dự báo sau khi xác nhận điều kiện giải ngân, đồng thời tính lãi vay và lịch trả nợ.</w:t>
      </w:r>
    </w:p>
    <w:p w14:paraId="57682261" w14:textId="77777777" w:rsidR="00184B91" w:rsidRDefault="00000000">
      <w:pPr>
        <w:pStyle w:val="Heading1"/>
      </w:pPr>
      <w:r>
        <w:t>4 Mua lại chọn lọc và tiếp nhận nhân sự giỏi</w:t>
      </w:r>
    </w:p>
    <w:p w14:paraId="50FBCC11" w14:textId="77777777" w:rsidR="00184B91" w:rsidRDefault="00000000">
      <w:r>
        <w:rPr>
          <w:b/>
        </w:rPr>
        <w:t>Đối tượng:</w:t>
      </w:r>
      <w:r>
        <w:t xml:space="preserve"> ưu tiên tài sản, quyền thuê và kênh phân phối của văn phòng bán vé có vị trí tốt, tệp khách phù hợp; tiếp nhận tự nguyện hướng dẫn viên giỏi ngoại ngữ và trưởng nhóm điều hành. Chọn nơi bổ sung địa bàn còn thiếu, tránh trùng lặp chi nhánh.</w:t>
      </w:r>
    </w:p>
    <w:p w14:paraId="66D07713" w14:textId="77777777" w:rsidR="00184B91" w:rsidRDefault="00000000">
      <w:r>
        <w:rPr>
          <w:b/>
        </w:rPr>
        <w:t>Ngân sách đề xuất tối đa 30 tỷ đồng:</w:t>
      </w:r>
      <w:r>
        <w:t xml:space="preserve"> 20 tỷ mua tài sản và quyền khai thác, 5 tỷ tuyển dụng và giữ chân, 5 tỷ tích hợp hệ thống. Điều kiện là burn rate bình quân cả kỳ 24 tháng không quá 25,4 tỷ đồng/tháng: 850 − 30 − 24 × 25,4 = 210,4 tỷ đồng. Trước mỗi thương vụ, cập nhật dự báo theo số dư thực tế; chỉ giải ngân nếu vẫn giữ ít nhất 210 tỷ cuối kỳ.</w:t>
      </w:r>
    </w:p>
    <w:p w14:paraId="6674F801" w14:textId="77777777" w:rsidR="00184B91" w:rsidRDefault="00000000">
      <w:r>
        <w:rPr>
          <w:b/>
        </w:rPr>
        <w:t>Cách thực hiện:</w:t>
      </w:r>
      <w:r>
        <w:t xml:space="preserve"> ưu tiên mua tài sản chọn lọc, thẩm định nợ, quyền sở hữu và nghĩa vụ với khách cũ. Thanh toán theo tiến độ bàn giao và doanh thu giữ lại; kiểm tra quyền chuyển giao hợp đồng, dữ liệu khách hàng. Nhân sự nhận thưởng theo chất lượng phục vụ và mức giữ chân khách.</w:t>
      </w:r>
    </w:p>
    <w:p w14:paraId="305B31FB" w14:textId="77777777" w:rsidR="00184B91" w:rsidRDefault="00000000">
      <w:r>
        <w:t>Trong 100 ngày sau tiếp nhận, hợp nhất đặt chỗ, đào tạo tiêu chuẩn dịch vụ và bán chéo tour mới. Đánh giá bằng khách hoạt động, tỷ lệ mua lại và lợi nhuận đóng góp; chỉ nhân rộng các điểm bán có dòng tiền dương.</w:t>
      </w:r>
    </w:p>
    <w:sectPr w:rsidR="00184B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172629">
    <w:abstractNumId w:val="8"/>
  </w:num>
  <w:num w:numId="2" w16cid:durableId="1745030712">
    <w:abstractNumId w:val="6"/>
  </w:num>
  <w:num w:numId="3" w16cid:durableId="949437970">
    <w:abstractNumId w:val="5"/>
  </w:num>
  <w:num w:numId="4" w16cid:durableId="598484606">
    <w:abstractNumId w:val="4"/>
  </w:num>
  <w:num w:numId="5" w16cid:durableId="1461457989">
    <w:abstractNumId w:val="7"/>
  </w:num>
  <w:num w:numId="6" w16cid:durableId="918556806">
    <w:abstractNumId w:val="3"/>
  </w:num>
  <w:num w:numId="7" w16cid:durableId="758137922">
    <w:abstractNumId w:val="2"/>
  </w:num>
  <w:num w:numId="8" w16cid:durableId="452754406">
    <w:abstractNumId w:val="1"/>
  </w:num>
  <w:num w:numId="9" w16cid:durableId="7552038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A53"/>
    <w:rsid w:val="00184B91"/>
    <w:rsid w:val="0029639D"/>
    <w:rsid w:val="00326F90"/>
    <w:rsid w:val="009402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8DA75"/>
  <w14:defaultImageDpi w14:val="300"/>
  <w15:docId w15:val="{11F36B80-0C04-9543-890A-D3BDE7168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chiến lược ST của Vietravel</dc:title>
  <dc:subject>Bài tập chiến lược vượt suy thoái</dc:subject>
  <dc:creator/>
  <cp:keywords>Vietravel, S-T, burn rate, dòng tiền, M&amp;A</cp:keywords>
  <dc:description>generated by python-docx</dc:description>
  <cp:lastModifiedBy>Trọng Lâm Quang</cp:lastModifiedBy>
  <cp:revision>2</cp:revision>
  <dcterms:created xsi:type="dcterms:W3CDTF">2013-12-23T23:15:00Z</dcterms:created>
  <dcterms:modified xsi:type="dcterms:W3CDTF">2026-10-28T10:39:00Z</dcterms:modified>
  <cp:category/>
</cp:coreProperties>
</file>