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i w:val="0"/>
          <w:color w:val="1F4E79"/>
          <w:sz w:val="36"/>
        </w:rPr>
        <w:t>ĐỀ ÁN CHUYỂN ĐỔI SỐ</w:t>
      </w:r>
    </w:p>
    <w:p>
      <w:pPr>
        <w:jc w:val="center"/>
      </w:pPr>
      <w:r>
        <w:rPr>
          <w:rFonts w:ascii="Times New Roman" w:hAnsi="Times New Roman" w:eastAsia="Times New Roman"/>
          <w:b/>
          <w:i w:val="0"/>
          <w:sz w:val="40"/>
        </w:rPr>
        <w:t>HỢP TÁC XÃ NÔNG SẢN – KHÓA K26</w:t>
      </w:r>
    </w:p>
    <w:p/>
    <w:p/>
    <w:p>
      <w:pPr>
        <w:jc w:val="center"/>
      </w:pPr>
      <w:r>
        <w:rPr>
          <w:rFonts w:ascii="Times New Roman" w:hAnsi="Times New Roman" w:eastAsia="Times New Roman"/>
          <w:b/>
          <w:i w:val="0"/>
          <w:sz w:val="28"/>
        </w:rPr>
        <w:t>BÀI THỰC HÀNH ĐỊNH DẠNG VĂN BẢN</w:t>
      </w:r>
    </w:p>
    <w:p/>
    <w:p/>
    <w:p/>
    <w:p/>
    <w:p/>
    <w:p>
      <w:pPr>
        <w:jc w:val="center"/>
      </w:pPr>
      <w:r>
        <w:rPr>
          <w:rFonts w:ascii="Times New Roman" w:hAnsi="Times New Roman" w:eastAsia="Times New Roman"/>
          <w:b w:val="0"/>
          <w:i w:val="0"/>
          <w:sz w:val="24"/>
        </w:rPr>
        <w:t>Sinh viên: Lâm Quang Trọng</w:t>
      </w:r>
    </w:p>
    <w:p>
      <w:pPr>
        <w:jc w:val="center"/>
      </w:pPr>
      <w:r>
        <w:rPr>
          <w:rFonts w:ascii="Times New Roman" w:hAnsi="Times New Roman" w:eastAsia="Times New Roman"/>
          <w:b w:val="0"/>
          <w:i w:val="0"/>
          <w:sz w:val="24"/>
        </w:rPr>
        <w:t>Lớp: K26</w:t>
      </w:r>
    </w:p>
    <w:p>
      <w:pPr>
        <w:jc w:val="center"/>
      </w:pPr>
      <w:r>
        <w:rPr>
          <w:rFonts w:ascii="Times New Roman" w:hAnsi="Times New Roman" w:eastAsia="Times New Roman"/>
          <w:b w:val="0"/>
          <w:i w:val="0"/>
          <w:sz w:val="24"/>
        </w:rPr>
        <w:t>Năm học: 2026</w:t>
      </w:r>
    </w:p>
    <w:p>
      <w:r>
        <w:br w:type="page"/>
      </w:r>
    </w:p>
    <w:p>
      <w:pPr>
        <w:jc w:val="center"/>
      </w:pPr>
      <w:r>
        <w:rPr>
          <w:rFonts w:ascii="Times New Roman" w:hAnsi="Times New Roman" w:eastAsia="Times New Roman"/>
          <w:b/>
          <w:i w:val="0"/>
          <w:sz w:val="32"/>
        </w:rPr>
        <w:t>MỤC LỤC</w:t>
      </w:r>
    </w:p>
    <w:p>
      <w:pPr>
        <w:jc w:val="left"/>
      </w:pPr>
      <w:r>
        <w:fldChar w:fldCharType="begin"/>
        <w:instrText xml:space="preserve"> TOC \o "1-2" \h \z \u </w:instrText>
        <w:fldChar w:fldCharType="separate"/>
        <w:t>Nhấp chuột phải vào mục lục và chọn Update Field để cập nhật số trang.</w:t>
        <w:fldChar w:fldCharType="end"/>
      </w:r>
    </w:p>
    <w:p>
      <w:r>
        <w:br w:type="page"/>
      </w:r>
    </w:p>
    <w:p>
      <w:pPr>
        <w:pStyle w:val="Heading1"/>
      </w:pPr>
      <w:r>
        <w:t>CHƯƠNG 1. TỔNG QUAN ĐỀ ÁN</w:t>
      </w:r>
    </w:p>
    <w:p>
      <w:pPr>
        <w:pStyle w:val="Heading2"/>
      </w:pPr>
      <w:r>
        <w:t>1.1. Bối cảnh chuyển đổi số</w:t>
      </w:r>
    </w:p>
    <w:p>
      <w:r>
        <w:t>Chuyển đổi số trong hợp tác xã nông sản hướng tới việc sử dụng dữ liệu và các nền tảng số để kết nối sản xuất, sơ chế, phân phối và tiêu thụ. Việc chuẩn hóa thông tin giúp các bên theo dõi đơn hàng, sản lượng, chất lượng và nhu cầu thị trường thuận tiện hơn.</w:t>
      </w:r>
    </w:p>
    <w:p>
      <w:pPr>
        <w:pStyle w:val="Heading2"/>
      </w:pPr>
      <w:r>
        <w:t>1.2. Mục tiêu của đề án</w:t>
      </w:r>
    </w:p>
    <w:p>
      <w:r>
        <w:t>Đề án tập trung xây dựng quy trình vận hành có dữ liệu làm nền tảng, tăng khả năng phối hợp giữa hợp tác xã, nông hộ, đơn vị phân phối và khách hàng; đồng thời tạo cơ sở để quản lý minh bạch và ra quyết định dựa trên thông tin.</w:t>
      </w:r>
    </w:p>
    <w:p>
      <w:pPr>
        <w:pStyle w:val="Heading1"/>
      </w:pPr>
      <w:r>
        <w:t>CHƯƠNG 2. MÔ HÌNH VẬN HÀNH SỐ</w:t>
      </w:r>
    </w:p>
    <w:p>
      <w:pPr>
        <w:pStyle w:val="Heading2"/>
      </w:pPr>
      <w:r>
        <w:t>2.1. Mô hình liên kết chuỗi</w:t>
      </w:r>
    </w:p>
    <w:p>
      <w:pPr>
        <w:jc w:val="center"/>
      </w:pPr>
      <w:r>
        <w:drawing>
          <wp:inline xmlns:a="http://schemas.openxmlformats.org/drawingml/2006/main" xmlns:pic="http://schemas.openxmlformats.org/drawingml/2006/picture">
            <wp:extent cx="5580000" cy="1409882"/>
            <wp:docPr id="1" name="Picture 1"/>
            <wp:cNvGraphicFramePr>
              <a:graphicFrameLocks noChangeAspect="1"/>
            </wp:cNvGraphicFramePr>
            <a:graphic>
              <a:graphicData uri="http://schemas.openxmlformats.org/drawingml/2006/picture">
                <pic:pic>
                  <pic:nvPicPr>
                    <pic:cNvPr id="0" name="mo_hinh_van_hanh_chuyen_doi_so.png"/>
                    <pic:cNvPicPr/>
                  </pic:nvPicPr>
                  <pic:blipFill>
                    <a:blip r:embed="rId9"/>
                    <a:stretch>
                      <a:fillRect/>
                    </a:stretch>
                  </pic:blipFill>
                  <pic:spPr>
                    <a:xfrm>
                      <a:off x="0" y="0"/>
                      <a:ext cx="5580000" cy="1409882"/>
                    </a:xfrm>
                    <a:prstGeom prst="rect"/>
                  </pic:spPr>
                </pic:pic>
              </a:graphicData>
            </a:graphic>
          </wp:inline>
        </w:drawing>
      </w:r>
    </w:p>
    <w:p>
      <w:pPr>
        <w:jc w:val="center"/>
      </w:pPr>
      <w:r>
        <w:rPr>
          <w:rFonts w:ascii="Times New Roman" w:hAnsi="Times New Roman" w:eastAsia="Times New Roman"/>
          <w:b w:val="0"/>
          <w:i/>
          <w:sz w:val="20"/>
        </w:rPr>
        <w:t>Hình 1: Mô hình liên kết chuỗi giá trị nông sản trên nền tảng số – Nguồn: Minh họa biên soạn cho bài thực hành.</w:t>
      </w:r>
    </w:p>
    <w:p>
      <w:r>
        <w:t>Mô hình minh họa cho thấy dữ liệu được luân chuyển xuyên suốt từ khâu sản xuất đến khách hàng. Trong tài liệu thực tế, hình ảnh có nguồn xuất bản chính thức cần được ghi rõ tên tài liệu, đơn vị phát hành và năm công bố.</w:t>
      </w:r>
    </w:p>
    <w:p>
      <w:pPr>
        <w:pStyle w:val="Heading2"/>
      </w:pPr>
      <w:r>
        <w:t>2.2. Quy trình vận hành</w:t>
      </w:r>
    </w:p>
    <w:p>
      <w:r>
        <w:t>Quy trình có thể bắt đầu từ việc ghi nhận sản lượng tại nông hộ, tiếp tục qua thu gom và sơ chế, đồng bộ dữ liệu lên nền tảng số, sau đó điều phối phân phối và cập nhật phản hồi của khách hàng.</w:t>
      </w:r>
    </w:p>
    <w:p>
      <w:pPr>
        <w:pStyle w:val="Heading1"/>
      </w:pPr>
      <w:r>
        <w:t>CHƯƠNG 3. NGÂN SÁCH DỰ KIẾN</w:t>
      </w:r>
    </w:p>
    <w:p>
      <w:pPr>
        <w:pStyle w:val="Heading2"/>
      </w:pPr>
      <w:r>
        <w:t>3.1. Bảng ngân sách</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tcPr>
          <w:p>
            <w:pPr>
              <w:jc w:val="center"/>
            </w:pPr>
            <w:r>
              <w:rPr>
                <w:rFonts w:ascii="Times New Roman" w:hAnsi="Times New Roman" w:eastAsia="Times New Roman"/>
                <w:b/>
                <w:i w:val="0"/>
                <w:sz w:val="22"/>
              </w:rPr>
              <w:t>STT</w:t>
            </w:r>
          </w:p>
        </w:tc>
        <w:tc>
          <w:tcPr>
            <w:tcW w:type="dxa" w:w="2268"/>
          </w:tcPr>
          <w:p>
            <w:pPr>
              <w:jc w:val="center"/>
            </w:pPr>
            <w:r>
              <w:rPr>
                <w:rFonts w:ascii="Times New Roman" w:hAnsi="Times New Roman" w:eastAsia="Times New Roman"/>
                <w:b/>
                <w:i w:val="0"/>
                <w:sz w:val="22"/>
              </w:rPr>
              <w:t>Hạng mục</w:t>
            </w:r>
          </w:p>
        </w:tc>
        <w:tc>
          <w:tcPr>
            <w:tcW w:type="dxa" w:w="2268"/>
          </w:tcPr>
          <w:p>
            <w:pPr>
              <w:jc w:val="center"/>
            </w:pPr>
            <w:r>
              <w:rPr>
                <w:rFonts w:ascii="Times New Roman" w:hAnsi="Times New Roman" w:eastAsia="Times New Roman"/>
                <w:b/>
                <w:i w:val="0"/>
                <w:sz w:val="22"/>
              </w:rPr>
              <w:t>Số lượng</w:t>
            </w:r>
          </w:p>
        </w:tc>
        <w:tc>
          <w:tcPr>
            <w:tcW w:type="dxa" w:w="2268"/>
          </w:tcPr>
          <w:p>
            <w:pPr>
              <w:jc w:val="center"/>
            </w:pPr>
            <w:r>
              <w:rPr>
                <w:rFonts w:ascii="Times New Roman" w:hAnsi="Times New Roman" w:eastAsia="Times New Roman"/>
                <w:b/>
                <w:i w:val="0"/>
                <w:sz w:val="22"/>
              </w:rPr>
              <w:t>Kinh phí dự kiến (VNĐ)</w:t>
            </w:r>
          </w:p>
        </w:tc>
      </w:tr>
      <w:tr>
        <w:tc>
          <w:tcPr>
            <w:tcW w:type="dxa" w:w="2268"/>
            <w:vAlign w:val="center"/>
          </w:tcPr>
          <w:p>
            <w:pPr>
              <w:jc w:val="center"/>
            </w:pPr>
            <w:r>
              <w:rPr>
                <w:rFonts w:ascii="Times New Roman" w:hAnsi="Times New Roman" w:eastAsia="Times New Roman"/>
                <w:b w:val="0"/>
                <w:i w:val="0"/>
                <w:sz w:val="22"/>
              </w:rPr>
              <w:t>1</w:t>
            </w:r>
          </w:p>
        </w:tc>
        <w:tc>
          <w:tcPr>
            <w:tcW w:type="dxa" w:w="2268"/>
            <w:vAlign w:val="center"/>
          </w:tcPr>
          <w:p>
            <w:pPr>
              <w:jc w:val="left"/>
            </w:pPr>
            <w:r>
              <w:rPr>
                <w:rFonts w:ascii="Times New Roman" w:hAnsi="Times New Roman" w:eastAsia="Times New Roman"/>
                <w:b w:val="0"/>
                <w:i w:val="0"/>
                <w:sz w:val="22"/>
              </w:rPr>
              <w:t>Thiết lập nền tảng dữ liệu</w:t>
            </w:r>
          </w:p>
        </w:tc>
        <w:tc>
          <w:tcPr>
            <w:tcW w:type="dxa" w:w="2268"/>
            <w:vAlign w:val="center"/>
          </w:tcPr>
          <w:p>
            <w:pPr>
              <w:jc w:val="right"/>
            </w:pPr>
            <w:r>
              <w:rPr>
                <w:rFonts w:ascii="Times New Roman" w:hAnsi="Times New Roman" w:eastAsia="Times New Roman"/>
                <w:b w:val="0"/>
                <w:i w:val="0"/>
                <w:sz w:val="22"/>
              </w:rPr>
              <w:t>1</w:t>
            </w:r>
          </w:p>
        </w:tc>
        <w:tc>
          <w:tcPr>
            <w:tcW w:type="dxa" w:w="2268"/>
            <w:vAlign w:val="center"/>
          </w:tcPr>
          <w:p>
            <w:pPr>
              <w:jc w:val="right"/>
            </w:pPr>
            <w:r>
              <w:rPr>
                <w:rFonts w:ascii="Times New Roman" w:hAnsi="Times New Roman" w:eastAsia="Times New Roman"/>
                <w:b w:val="0"/>
                <w:i w:val="0"/>
                <w:sz w:val="22"/>
              </w:rPr>
              <w:t>20.000.000</w:t>
            </w:r>
          </w:p>
        </w:tc>
      </w:tr>
      <w:tr>
        <w:tc>
          <w:tcPr>
            <w:tcW w:type="dxa" w:w="2268"/>
            <w:vAlign w:val="center"/>
          </w:tcPr>
          <w:p>
            <w:pPr>
              <w:jc w:val="center"/>
            </w:pPr>
            <w:r>
              <w:rPr>
                <w:rFonts w:ascii="Times New Roman" w:hAnsi="Times New Roman" w:eastAsia="Times New Roman"/>
                <w:b w:val="0"/>
                <w:i w:val="0"/>
                <w:sz w:val="22"/>
              </w:rPr>
              <w:t>2</w:t>
            </w:r>
          </w:p>
        </w:tc>
        <w:tc>
          <w:tcPr>
            <w:tcW w:type="dxa" w:w="2268"/>
            <w:vAlign w:val="center"/>
          </w:tcPr>
          <w:p>
            <w:pPr>
              <w:jc w:val="left"/>
            </w:pPr>
            <w:r>
              <w:rPr>
                <w:rFonts w:ascii="Times New Roman" w:hAnsi="Times New Roman" w:eastAsia="Times New Roman"/>
                <w:b w:val="0"/>
                <w:i w:val="0"/>
                <w:sz w:val="22"/>
              </w:rPr>
              <w:t>Thiết bị và kết nối</w:t>
            </w:r>
          </w:p>
        </w:tc>
        <w:tc>
          <w:tcPr>
            <w:tcW w:type="dxa" w:w="2268"/>
            <w:vAlign w:val="center"/>
          </w:tcPr>
          <w:p>
            <w:pPr>
              <w:jc w:val="right"/>
            </w:pPr>
            <w:r>
              <w:rPr>
                <w:rFonts w:ascii="Times New Roman" w:hAnsi="Times New Roman" w:eastAsia="Times New Roman"/>
                <w:b w:val="0"/>
                <w:i w:val="0"/>
                <w:sz w:val="22"/>
              </w:rPr>
              <w:t>5</w:t>
            </w:r>
          </w:p>
        </w:tc>
        <w:tc>
          <w:tcPr>
            <w:tcW w:type="dxa" w:w="2268"/>
            <w:vAlign w:val="center"/>
          </w:tcPr>
          <w:p>
            <w:pPr>
              <w:jc w:val="right"/>
            </w:pPr>
            <w:r>
              <w:rPr>
                <w:rFonts w:ascii="Times New Roman" w:hAnsi="Times New Roman" w:eastAsia="Times New Roman"/>
                <w:b w:val="0"/>
                <w:i w:val="0"/>
                <w:sz w:val="22"/>
              </w:rPr>
              <w:t>15.000.000</w:t>
            </w:r>
          </w:p>
        </w:tc>
      </w:tr>
      <w:tr>
        <w:tc>
          <w:tcPr>
            <w:tcW w:type="dxa" w:w="2268"/>
            <w:vAlign w:val="center"/>
          </w:tcPr>
          <w:p>
            <w:pPr>
              <w:jc w:val="center"/>
            </w:pPr>
            <w:r>
              <w:rPr>
                <w:rFonts w:ascii="Times New Roman" w:hAnsi="Times New Roman" w:eastAsia="Times New Roman"/>
                <w:b w:val="0"/>
                <w:i w:val="0"/>
                <w:sz w:val="22"/>
              </w:rPr>
              <w:t>3</w:t>
            </w:r>
          </w:p>
        </w:tc>
        <w:tc>
          <w:tcPr>
            <w:tcW w:type="dxa" w:w="2268"/>
            <w:vAlign w:val="center"/>
          </w:tcPr>
          <w:p>
            <w:pPr>
              <w:jc w:val="left"/>
            </w:pPr>
            <w:r>
              <w:rPr>
                <w:rFonts w:ascii="Times New Roman" w:hAnsi="Times New Roman" w:eastAsia="Times New Roman"/>
                <w:b w:val="0"/>
                <w:i w:val="0"/>
                <w:sz w:val="22"/>
              </w:rPr>
              <w:t>Đào tạo người sử dụng</w:t>
            </w:r>
          </w:p>
        </w:tc>
        <w:tc>
          <w:tcPr>
            <w:tcW w:type="dxa" w:w="2268"/>
            <w:vAlign w:val="center"/>
          </w:tcPr>
          <w:p>
            <w:pPr>
              <w:jc w:val="right"/>
            </w:pPr>
            <w:r>
              <w:rPr>
                <w:rFonts w:ascii="Times New Roman" w:hAnsi="Times New Roman" w:eastAsia="Times New Roman"/>
                <w:b w:val="0"/>
                <w:i w:val="0"/>
                <w:sz w:val="22"/>
              </w:rPr>
              <w:t>2</w:t>
            </w:r>
          </w:p>
        </w:tc>
        <w:tc>
          <w:tcPr>
            <w:tcW w:type="dxa" w:w="2268"/>
            <w:vAlign w:val="center"/>
          </w:tcPr>
          <w:p>
            <w:pPr>
              <w:jc w:val="right"/>
            </w:pPr>
            <w:r>
              <w:rPr>
                <w:rFonts w:ascii="Times New Roman" w:hAnsi="Times New Roman" w:eastAsia="Times New Roman"/>
                <w:b w:val="0"/>
                <w:i w:val="0"/>
                <w:sz w:val="22"/>
              </w:rPr>
              <w:t>8.000.000</w:t>
            </w:r>
          </w:p>
        </w:tc>
      </w:tr>
      <w:tr>
        <w:tc>
          <w:tcPr>
            <w:tcW w:type="dxa" w:w="2268"/>
            <w:vAlign w:val="center"/>
          </w:tcPr>
          <w:p>
            <w:pPr>
              <w:jc w:val="center"/>
            </w:pPr>
            <w:r>
              <w:rPr>
                <w:rFonts w:ascii="Times New Roman" w:hAnsi="Times New Roman" w:eastAsia="Times New Roman"/>
                <w:b w:val="0"/>
                <w:i w:val="0"/>
                <w:sz w:val="22"/>
              </w:rPr>
              <w:t>4</w:t>
            </w:r>
          </w:p>
        </w:tc>
        <w:tc>
          <w:tcPr>
            <w:tcW w:type="dxa" w:w="2268"/>
            <w:vAlign w:val="center"/>
          </w:tcPr>
          <w:p>
            <w:pPr>
              <w:jc w:val="left"/>
            </w:pPr>
            <w:r>
              <w:rPr>
                <w:rFonts w:ascii="Times New Roman" w:hAnsi="Times New Roman" w:eastAsia="Times New Roman"/>
                <w:b w:val="0"/>
                <w:i w:val="0"/>
                <w:sz w:val="22"/>
              </w:rPr>
              <w:t>Truyền thông và hướng dẫn</w:t>
            </w:r>
          </w:p>
        </w:tc>
        <w:tc>
          <w:tcPr>
            <w:tcW w:type="dxa" w:w="2268"/>
            <w:vAlign w:val="center"/>
          </w:tcPr>
          <w:p>
            <w:pPr>
              <w:jc w:val="right"/>
            </w:pPr>
            <w:r>
              <w:rPr>
                <w:rFonts w:ascii="Times New Roman" w:hAnsi="Times New Roman" w:eastAsia="Times New Roman"/>
                <w:b w:val="0"/>
                <w:i w:val="0"/>
                <w:sz w:val="22"/>
              </w:rPr>
              <w:t>1</w:t>
            </w:r>
          </w:p>
        </w:tc>
        <w:tc>
          <w:tcPr>
            <w:tcW w:type="dxa" w:w="2268"/>
            <w:vAlign w:val="center"/>
          </w:tcPr>
          <w:p>
            <w:pPr>
              <w:jc w:val="right"/>
            </w:pPr>
            <w:r>
              <w:rPr>
                <w:rFonts w:ascii="Times New Roman" w:hAnsi="Times New Roman" w:eastAsia="Times New Roman"/>
                <w:b w:val="0"/>
                <w:i w:val="0"/>
                <w:sz w:val="22"/>
              </w:rPr>
              <w:t>5.000.000</w:t>
            </w:r>
          </w:p>
        </w:tc>
      </w:tr>
      <w:tr>
        <w:tc>
          <w:tcPr>
            <w:tcW w:type="dxa" w:w="2268"/>
            <w:vAlign w:val="center"/>
          </w:tcPr>
          <w:p>
            <w:pPr>
              <w:jc w:val="center"/>
            </w:pPr>
            <w:r>
              <w:rPr>
                <w:rFonts w:ascii="Times New Roman" w:hAnsi="Times New Roman" w:eastAsia="Times New Roman"/>
                <w:b w:val="0"/>
                <w:i w:val="0"/>
                <w:sz w:val="22"/>
              </w:rPr>
              <w:t>5</w:t>
            </w:r>
          </w:p>
        </w:tc>
        <w:tc>
          <w:tcPr>
            <w:tcW w:type="dxa" w:w="2268"/>
            <w:vAlign w:val="center"/>
          </w:tcPr>
          <w:p>
            <w:pPr>
              <w:jc w:val="left"/>
            </w:pPr>
            <w:r>
              <w:rPr>
                <w:rFonts w:ascii="Times New Roman" w:hAnsi="Times New Roman" w:eastAsia="Times New Roman"/>
                <w:b w:val="0"/>
                <w:i w:val="0"/>
                <w:sz w:val="22"/>
              </w:rPr>
              <w:t>Dự phòng triển khai</w:t>
            </w:r>
          </w:p>
        </w:tc>
        <w:tc>
          <w:tcPr>
            <w:tcW w:type="dxa" w:w="2268"/>
            <w:vAlign w:val="center"/>
          </w:tcPr>
          <w:p>
            <w:pPr>
              <w:jc w:val="right"/>
            </w:pPr>
            <w:r>
              <w:rPr>
                <w:rFonts w:ascii="Times New Roman" w:hAnsi="Times New Roman" w:eastAsia="Times New Roman"/>
                <w:b w:val="0"/>
                <w:i w:val="0"/>
                <w:sz w:val="22"/>
              </w:rPr>
              <w:t>1</w:t>
            </w:r>
          </w:p>
        </w:tc>
        <w:tc>
          <w:tcPr>
            <w:tcW w:type="dxa" w:w="2268"/>
            <w:vAlign w:val="center"/>
          </w:tcPr>
          <w:p>
            <w:pPr>
              <w:jc w:val="right"/>
            </w:pPr>
            <w:r>
              <w:rPr>
                <w:rFonts w:ascii="Times New Roman" w:hAnsi="Times New Roman" w:eastAsia="Times New Roman"/>
                <w:b w:val="0"/>
                <w:i w:val="0"/>
                <w:sz w:val="22"/>
              </w:rPr>
              <w:t>7.000.000</w:t>
            </w:r>
          </w:p>
        </w:tc>
      </w:tr>
    </w:tbl>
    <w:p>
      <w:pPr>
        <w:pStyle w:val="Heading2"/>
      </w:pPr>
      <w:r>
        <w:t>3.2. Quy tắc trình bày bảng</w:t>
      </w:r>
    </w:p>
    <w:p>
      <w:r>
        <w:t>Cột chữ căn trái, cột số lượng và kinh phí căn phải, cột STT căn giữa. Hàng tiêu đề được đánh dấu lặp lại khi bảng kéo dài sang trang tiếp theo.</w:t>
      </w:r>
    </w:p>
    <w:p>
      <w:pPr>
        <w:pStyle w:val="Heading1"/>
      </w:pPr>
      <w:r>
        <w:t>CHƯƠNG 4. TỔ CHỨC THỰC HIỆN</w:t>
      </w:r>
    </w:p>
    <w:p>
      <w:pPr>
        <w:pStyle w:val="Heading2"/>
      </w:pPr>
      <w:r>
        <w:t>4.1. Phân công</w:t>
      </w:r>
    </w:p>
    <w:p>
      <w:r>
        <w:t>Nhóm triển khai cần xác định người phụ trách dữ liệu, người quản trị nền tảng, người hỗ trợ nông hộ và người theo dõi kết quả. Các nhiệm vụ nên được mô tả bằng đầu việc, thời hạn và kết quả đầu ra để dễ kiểm soát.</w:t>
      </w:r>
    </w:p>
    <w:p>
      <w:pPr>
        <w:pStyle w:val="Heading2"/>
      </w:pPr>
      <w:r>
        <w:t>4.2. Theo dõi và đánh giá</w:t>
      </w:r>
    </w:p>
    <w:p>
      <w:r>
        <w:t>Các chỉ số theo dõi có thể gồm tỷ lệ cập nhật dữ liệu đúng hạn, số đơn hàng được xử lý trên nền tảng, tỷ lệ hoàn thành đào tạo và mức độ phản hồi của người sử dụng.</w:t>
      </w:r>
    </w:p>
    <w:p>
      <w:pPr>
        <w:pStyle w:val="Heading1"/>
      </w:pPr>
      <w:r>
        <w:t>CHƯƠNG 5. KẾT LUẬN</w:t>
      </w:r>
    </w:p>
    <w:p>
      <w:pPr>
        <w:pStyle w:val="Heading2"/>
      </w:pPr>
      <w:r>
        <w:t>5.1. Kết quả kỳ vọng</w:t>
      </w:r>
    </w:p>
    <w:p>
      <w:r>
        <w:t>Việc tổ chức tài liệu và quy trình trên nền tảng số giúp hợp tác xã có một hệ thống thông tin thống nhất, hỗ trợ phối hợp giữa các khâu và tạo nền tảng cho việc mở rộng hoạt động trong tương lai.</w:t>
      </w:r>
    </w:p>
    <w:p>
      <w:pPr>
        <w:pStyle w:val="Heading2"/>
      </w:pPr>
      <w:r>
        <w:t>5.2. Kiến nghị</w:t>
      </w:r>
    </w:p>
    <w:p>
      <w:r>
        <w:t>Cần triển khai theo từng giai đoạn, ưu tiên chuẩn hóa dữ liệu và hướng dẫn người sử dụng trước khi mở rộng các chức năng nâng cao. Việc sao lưu dữ liệu và phân quyền truy cập cũng cần được thực hiện ngay từ đầu.</w:t>
      </w:r>
    </w:p>
    <w:sectPr w:rsidR="00FC693F" w:rsidRPr="0006063C" w:rsidSect="00034616">
      <w:headerReference w:type="default" r:id="rId10"/>
      <w:footerReference w:type="default" r:id="rId11"/>
      <w:pgSz w:w="11906" w:h="16838"/>
      <w:pgMar w:top="1134" w:right="1134" w:bottom="1134" w:left="1701"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18"/>
      </w:rPr>
      <w:t>Đề Án Chuyển Đổi Số Hợp Tác Xã Nông Sản - Khóa K26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59595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Chuyển đổi số Hợp tác xã Nông sản - Khóa K26</dc:title>
  <dc:subject>Bài thực hành định dạng Word</dc:subject>
  <dc:creator>Sinh viên K26</dc:creator>
  <cp:keywords/>
  <dc:description>generated by python-docx</dc:description>
  <cp:lastModifiedBy/>
  <cp:revision>1</cp:revision>
  <dcterms:created xsi:type="dcterms:W3CDTF">2013-12-23T23:15:00Z</dcterms:created>
  <dcterms:modified xsi:type="dcterms:W3CDTF">2013-12-23T23:15:00Z</dcterms:modified>
  <cp:category/>
</cp:coreProperties>
</file>