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Construction task plan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Vietnam Build Center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2024-12-19 20:05:33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TableNormal"/>
        <w:tblW w:w="5000" w:type="pct"/>
        <w:tblLook w:val="0020"/>
      </w:tblPr>
      <w:tblGrid>
        <w:gridCol w:w="928"/>
        <w:gridCol w:w="362"/>
        <w:gridCol w:w="1323"/>
        <w:gridCol w:w="800"/>
        <w:gridCol w:w="1046"/>
        <w:gridCol w:w="628"/>
        <w:gridCol w:w="628"/>
        <w:gridCol w:w="628"/>
        <w:gridCol w:w="628"/>
        <w:gridCol w:w="785"/>
        <w:gridCol w:w="73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No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Task Name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Assign To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Estimate Time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ET Start Date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ET End Date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Start Date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End Date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Status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Note</w:t>
            </w:r>
          </w:p>
        </w:tc>
      </w:tr>
      <w:tr>
        <w:tblPrEx>
          <w:tblW w:w="5000" w:type="pct"/>
          <w:tblLook w:val="002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</w:rPr>
              <w:t>Web version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Creating a Construction information inquiry popup (slide 3)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2d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04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05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04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12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Coding an api to get Mobile list by Mobile Id, using sql from HQ.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0.5d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04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Integrating the mobile searching api with the Mobile filter button on the Construction Popup (slide 3)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0.5d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04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Creating a selection event on the result table and an event for the button D-5 "check"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2d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04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Integrating the Construction information inquiry popup with a screen to test the result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04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13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</w:rPr>
              <w:t>Mobile version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Creating a Construction information inquiry popup for mobile version (slide 6)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2d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Integrating the mobile searching api with the button C "check" to display E-1 and E-2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11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11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Creating tooltip E-4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0.5d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11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11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8 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Creating a selection event on the result table E-2 and an event for the button E-3 "apply"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12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12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Integrating the Construction information inquiry popup with a screen to test the result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12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12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06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09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</w:rPr>
              <w:t>Unit testing, cross testing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Unit testing, cross testing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Tung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color w:val="FF0000"/>
              </w:rPr>
              <w:t>1d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13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13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12 Sep 2024</w:t>
            </w:r>
            <w:r>
              <w:t>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  <w:smallCaps/>
                <w:color w:val="FFFFFF"/>
                <w:shd w:val="clear" w:color="auto" w:fill="14892C"/>
              </w:rPr>
              <w:t> done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Return value from Popup to main screen but main screen do not show data</w:t>
            </w:r>
          </w:p>
        </w:tc>
      </w:tr>
    </w:tbl>
    <w:p/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Vietnam Build Center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Construction task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2024-12-19T11:05:33Z</dcterms:created>
  <dcterms:modified xsi:type="dcterms:W3CDTF">2024-12-19T11:05:33Z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