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 — Product Brief</w:t>
      </w:r>
    </w:p>
    <w:p>
      <w:pPr>
        <w:pStyle w:val="Heading1"/>
      </w:pPr>
      <w:r>
        <w:t>Overview</w:t>
      </w:r>
    </w:p>
    <w:p>
      <w:r>
        <w:t>Arc is a desk lamp for people who work at the same desk for eight hours. It throws an even, flicker-free pool of light across a 900 by 600 millimetre work surface and dims warm, from 4000K at full brightness down to 2200K at its lowest setting.</w:t>
      </w:r>
    </w:p>
    <w:p>
      <w:r>
        <w:t>It replaces the clip-on task lights and floor lamps our interviewees described as either too harsh or too dim, and it costs less than the architect lamps they admire but do not buy.</w:t>
      </w:r>
    </w:p>
    <w:p>
      <w:pPr>
        <w:pStyle w:val="Heading1"/>
      </w:pPr>
      <w:r>
        <w:t>Who it is for</w:t>
      </w:r>
    </w:p>
    <w:p>
      <w:r>
        <w:t>Architects, writers, and engineers working from home or in small studios. They notice flicker, they care about colour, and they keep a tidy desk.</w:t>
      </w:r>
    </w:p>
    <w:p>
      <w:r>
        <w:br w:type="page"/>
      </w:r>
    </w:p>
    <w:p>
      <w:pPr>
        <w:pStyle w:val="Heading1"/>
      </w:pPr>
      <w:r>
        <w:t>Requirements</w:t>
      </w:r>
    </w:p>
    <w:p>
      <w:pPr>
        <w:pStyle w:val="Heading2"/>
      </w:pPr>
      <w:r>
        <w:t>Light quality</w:t>
      </w:r>
    </w:p>
    <w:p>
      <w:pPr>
        <w:pStyle w:val="ListBullet"/>
      </w:pPr>
      <w:r>
        <w:t>CRI 95 or better across the dimming range.</w:t>
      </w:r>
    </w:p>
    <w:p>
      <w:pPr>
        <w:pStyle w:val="ListBullet"/>
      </w:pPr>
      <w:r>
        <w:t>No visible flicker at any brightness; PWM above 20 kHz or constant-current dimming.</w:t>
      </w:r>
    </w:p>
    <w:p>
      <w:pPr>
        <w:pStyle w:val="ListBullet"/>
      </w:pPr>
      <w:r>
        <w:t>Warm dimming curve that tracks a filament from 4000K to 2200K.</w:t>
      </w:r>
    </w:p>
    <w:p>
      <w:pPr>
        <w:pStyle w:val="Heading2"/>
      </w:pPr>
      <w:r>
        <w:t>Mechanics</w:t>
      </w:r>
    </w:p>
    <w:p>
      <w:pPr>
        <w:pStyle w:val="ListBullet"/>
      </w:pPr>
      <w:r>
        <w:t>Two-section arm with friction hinges; holds position with the shade at full reach.</w:t>
      </w:r>
    </w:p>
    <w:p>
      <w:pPr>
        <w:pStyle w:val="ListBullet"/>
      </w:pPr>
      <w:r>
        <w:t>Shade diameter 140 mm, spun aluminium, matte interior.</w:t>
      </w:r>
    </w:p>
    <w:p>
      <w:pPr>
        <w:pStyle w:val="ListBullet"/>
      </w:pPr>
      <w:r>
        <w:t>Cast zinc base, 1.6 kg, with a felt underside.</w:t>
      </w:r>
    </w:p>
    <w:p>
      <w:pPr>
        <w:pStyle w:val="Heading2"/>
      </w:pPr>
      <w:r>
        <w:t>Controls</w:t>
      </w:r>
    </w:p>
    <w:p>
      <w:pPr>
        <w:pStyle w:val="ListBullet"/>
      </w:pPr>
      <w:r>
        <w:t>A single touch strip on the shade rim: tap for on and off, slide to dim.</w:t>
      </w:r>
    </w:p>
    <w:p>
      <w:pPr>
        <w:pStyle w:val="ListBullet"/>
      </w:pPr>
      <w:r>
        <w:t>Remembers the last brightness.</w:t>
      </w:r>
    </w:p>
    <w:p>
      <w:pPr>
        <w:pStyle w:val="Heading1"/>
      </w:pPr>
      <w:r>
        <w:t>Non-goals</w:t>
      </w:r>
    </w:p>
    <w:p>
      <w:pPr>
        <w:pStyle w:val="ListBullet"/>
      </w:pPr>
      <w:r>
        <w:t>App control or smart-home integration in version one.</w:t>
      </w:r>
    </w:p>
    <w:p>
      <w:pPr>
        <w:pStyle w:val="ListBullet"/>
      </w:pPr>
      <w:r>
        <w:t>Clamp mounting.</w:t>
      </w:r>
    </w:p>
    <w:p>
      <w:pPr>
        <w:pStyle w:val="ListBullet"/>
      </w:pPr>
      <w:r>
        <w:t>Battery operation.</w:t>
      </w:r>
    </w:p>
    <w:p>
      <w:pPr>
        <w:pStyle w:val="Heading1"/>
      </w:pPr>
      <w:r>
        <w:t>Open issues</w:t>
      </w:r>
    </w:p>
    <w:p>
      <w:pPr>
        <w:pStyle w:val="ListBullet"/>
      </w:pPr>
      <w:r>
        <w:t>Hinge torque drifts after 5,000 cycles in DVT; rework due October 17.</w:t>
      </w:r>
    </w:p>
    <w:p>
      <w:pPr>
        <w:pStyle w:val="ListBullet"/>
      </w:pPr>
      <w:r>
        <w:t>Driver EMI fails the conducted-emissions limit at 150 kHz by 3 dB.</w:t>
      </w:r>
    </w:p>
    <w:p>
      <w:r>
        <w:rPr>
          <w:i/>
        </w:rPr>
        <w:t>Signed off by Priya Raman and Tom Okafor, September 28,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1F2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1F23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lvetica Neue" w:hAnsi="Helvetica Neue"/>
      <w:color w:val="1F23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— Product Brief</dc:title>
  <dc:subject/>
  <dc:creator>Tom Okafor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