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80" w:line="264" w:lineRule="auto"/>
      </w:pPr>
      <w:r>
        <w:rPr>
          <w:rFonts w:ascii="Calibri" w:hAnsi="Calibri"/>
          <w:sz w:val="46"/>
          <w:color w:val="000000"/>
          <w:b/>
        </w:rPr>
        <w:t xml:space="preserve">Google Ads API Tool Documentation</w:t>
      </w:r>
    </w:p>
    <w:p>
      <w:pPr>
        <w:spacing w:before="0" w:after="280" w:line="264" w:lineRule="auto"/>
      </w:pPr>
      <w:r>
        <w:rPr>
          <w:rFonts w:ascii="Calibri" w:hAnsi="Calibri"/>
          <w:sz w:val="26"/>
          <w:color w:val="555555"/>
        </w:rPr>
        <w:t xml:space="preserve">Maracuja Digital — internal campaign reporting dashboard</w:t>
      </w:r>
    </w:p>
    <w:tbl>
      <w:tblPr>
        <w:tblW w:w="9360" w:type="dxa"/>
        <w:tblLayout w:type="fixed"/>
        <w:tblBorders>
          <w:top w:val="single" w:sz="4" w:color="DADCE0"/>
          <w:left w:val="single" w:sz="4" w:color="DADCE0"/>
          <w:bottom w:val="single" w:sz="4" w:color="DADCE0"/>
          <w:right w:val="single" w:sz="4" w:color="DADCE0"/>
          <w:insideH w:val="single" w:sz="4" w:color="DADCE0"/>
          <w:insideV w:val="single" w:sz="4" w:color="DADCE0"/>
        </w:tblBorders>
      </w:tblPr>
      <w:tblGrid>
        <w:gridCol w:w="1944"/>
        <w:gridCol w:w="7416"/>
      </w:tblGrid>
      <w:tr>
        <w:tc>
          <w:tcPr>
            <w:tcW w:w="1944" w:type="dxa"/>
            <w:shd w:fill="F2F4F7"/>
            <w:tcMar>
              <w:top w:w="80" w:type="dxa"/>
              <w:start w:w="120" w:type="dxa"/>
              <w:bottom w:w="80" w:type="dxa"/>
              <w:end w:w="120" w:type="dxa"/>
            </w:tcMar>
          </w:tcPr>
          <w:p>
            <w:pPr>
              <w:spacing w:before="0" w:after="0" w:line="264" w:lineRule="auto"/>
            </w:pPr>
            <w:r>
              <w:rPr>
                <w:rFonts w:ascii="Calibri" w:hAnsi="Calibri"/>
                <w:sz w:val="21"/>
                <w:color w:val="1F4D78"/>
                <w:b/>
              </w:rPr>
              <w:t xml:space="preserve">Company</w:t>
            </w:r>
          </w:p>
        </w:tc>
        <w:tc>
          <w:tcPr>
            <w:tcW w:w="7416" w:type="dxa"/>
            <w:tcMar>
              <w:top w:w="80" w:type="dxa"/>
              <w:start w:w="120" w:type="dxa"/>
              <w:bottom w:w="80" w:type="dxa"/>
              <w:end w:w="120" w:type="dxa"/>
            </w:tcMar>
          </w:tcPr>
          <w:p>
            <w:pPr>
              <w:spacing w:before="0" w:after="0" w:line="264" w:lineRule="auto"/>
            </w:pPr>
            <w:r>
              <w:rPr>
                <w:rFonts w:ascii="Calibri" w:hAnsi="Calibri"/>
                <w:sz w:val="21"/>
                <w:color w:val="000000"/>
              </w:rPr>
              <w:t xml:space="preserve">Maracuja Digital</w:t>
            </w:r>
          </w:p>
        </w:tc>
      </w:tr>
      <w:tr>
        <w:tc>
          <w:tcPr>
            <w:tcW w:w="1944" w:type="dxa"/>
            <w:shd w:fill="F2F4F7"/>
            <w:tcMar>
              <w:top w:w="80" w:type="dxa"/>
              <w:start w:w="120" w:type="dxa"/>
              <w:bottom w:w="80" w:type="dxa"/>
              <w:end w:w="120" w:type="dxa"/>
            </w:tcMar>
          </w:tcPr>
          <w:p>
            <w:pPr>
              <w:spacing w:before="0" w:after="0" w:line="264" w:lineRule="auto"/>
            </w:pPr>
            <w:r>
              <w:rPr>
                <w:rFonts w:ascii="Calibri" w:hAnsi="Calibri"/>
                <w:sz w:val="21"/>
                <w:color w:val="1F4D78"/>
                <w:b/>
              </w:rPr>
              <w:t xml:space="preserve">Primary website</w:t>
            </w:r>
          </w:p>
        </w:tc>
        <w:tc>
          <w:tcPr>
            <w:tcW w:w="7416" w:type="dxa"/>
            <w:tcMar>
              <w:top w:w="80" w:type="dxa"/>
              <w:start w:w="120" w:type="dxa"/>
              <w:bottom w:w="80" w:type="dxa"/>
              <w:end w:w="120" w:type="dxa"/>
            </w:tcMar>
          </w:tcPr>
          <w:p>
            <w:pPr>
              <w:spacing w:before="0" w:after="0" w:line="264" w:lineRule="auto"/>
            </w:pPr>
            <w:r>
              <w:rPr>
                <w:rFonts w:ascii="Calibri" w:hAnsi="Calibri"/>
                <w:sz w:val="21"/>
                <w:color w:val="000000"/>
              </w:rPr>
              <w:t xml:space="preserve">https://maracujadigital.fr</w:t>
            </w:r>
          </w:p>
        </w:tc>
      </w:tr>
      <w:tr>
        <w:tc>
          <w:tcPr>
            <w:tcW w:w="1944" w:type="dxa"/>
            <w:shd w:fill="F2F4F7"/>
            <w:tcMar>
              <w:top w:w="80" w:type="dxa"/>
              <w:start w:w="120" w:type="dxa"/>
              <w:bottom w:w="80" w:type="dxa"/>
              <w:end w:w="120" w:type="dxa"/>
            </w:tcMar>
          </w:tcPr>
          <w:p>
            <w:pPr>
              <w:spacing w:before="0" w:after="0" w:line="264" w:lineRule="auto"/>
            </w:pPr>
            <w:r>
              <w:rPr>
                <w:rFonts w:ascii="Calibri" w:hAnsi="Calibri"/>
                <w:sz w:val="21"/>
                <w:color w:val="1F4D78"/>
                <w:b/>
              </w:rPr>
              <w:t xml:space="preserve">Tool status</w:t>
            </w:r>
          </w:p>
        </w:tc>
        <w:tc>
          <w:tcPr>
            <w:tcW w:w="7416" w:type="dxa"/>
            <w:tcMar>
              <w:top w:w="80" w:type="dxa"/>
              <w:start w:w="120" w:type="dxa"/>
              <w:bottom w:w="80" w:type="dxa"/>
              <w:end w:w="120" w:type="dxa"/>
            </w:tcMar>
          </w:tcPr>
          <w:p>
            <w:pPr>
              <w:spacing w:before="0" w:after="0" w:line="264" w:lineRule="auto"/>
            </w:pPr>
            <w:r>
              <w:rPr>
                <w:rFonts w:ascii="Calibri" w:hAnsi="Calibri"/>
                <w:sz w:val="21"/>
                <w:color w:val="000000"/>
              </w:rPr>
              <w:t xml:space="preserve">Internal tool under development</w:t>
            </w:r>
          </w:p>
        </w:tc>
      </w:tr>
      <w:tr>
        <w:tc>
          <w:tcPr>
            <w:tcW w:w="1944" w:type="dxa"/>
            <w:shd w:fill="F2F4F7"/>
            <w:tcMar>
              <w:top w:w="80" w:type="dxa"/>
              <w:start w:w="120" w:type="dxa"/>
              <w:bottom w:w="80" w:type="dxa"/>
              <w:end w:w="120" w:type="dxa"/>
            </w:tcMar>
          </w:tcPr>
          <w:p>
            <w:pPr>
              <w:spacing w:before="0" w:after="0" w:line="264" w:lineRule="auto"/>
            </w:pPr>
            <w:r>
              <w:rPr>
                <w:rFonts w:ascii="Calibri" w:hAnsi="Calibri"/>
                <w:sz w:val="21"/>
                <w:color w:val="1F4D78"/>
                <w:b/>
              </w:rPr>
              <w:t xml:space="preserve">Document date</w:t>
            </w:r>
          </w:p>
        </w:tc>
        <w:tc>
          <w:tcPr>
            <w:tcW w:w="7416" w:type="dxa"/>
            <w:tcMar>
              <w:top w:w="80" w:type="dxa"/>
              <w:start w:w="120" w:type="dxa"/>
              <w:bottom w:w="80" w:type="dxa"/>
              <w:end w:w="120" w:type="dxa"/>
            </w:tcMar>
          </w:tcPr>
          <w:p>
            <w:pPr>
              <w:spacing w:before="0" w:after="0" w:line="264" w:lineRule="auto"/>
            </w:pPr>
            <w:r>
              <w:rPr>
                <w:rFonts w:ascii="Calibri" w:hAnsi="Calibri"/>
                <w:sz w:val="21"/>
                <w:color w:val="000000"/>
              </w:rPr>
              <w:t xml:space="preserve">22 August 2026</w:t>
            </w:r>
          </w:p>
        </w:tc>
      </w:tr>
    </w:tbl>
    <w:p>
      <w:pPr>
        <w:spacing w:before="320" w:after="160" w:line="264" w:lineRule="auto"/>
      </w:pPr>
      <w:r>
        <w:rPr>
          <w:rFonts w:ascii="Calibri" w:hAnsi="Calibri"/>
          <w:sz w:val="32"/>
          <w:color w:val="2E74B5"/>
          <w:b/>
        </w:rPr>
        <w:t xml:space="preserve">1. Business and intended audience</w:t>
      </w:r>
    </w:p>
    <w:p>
      <w:pPr>
        <w:spacing w:before="0" w:after="120" w:line="264" w:lineRule="auto"/>
      </w:pPr>
      <w:r>
        <w:rPr>
          <w:rFonts w:ascii="Calibri" w:hAnsi="Calibri"/>
          <w:sz w:val="22"/>
          <w:color w:val="000000"/>
        </w:rPr>
        <w:t xml:space="preserve">Maracuja Digital operates and manages its own websites and selected client websites, including professional-service websites. The tool is intended solely for Maracuja Digital staff and authorized site administrators. It is not offered to the general public as a consumer product.</w:t>
      </w:r>
    </w:p>
    <w:p>
      <w:pPr>
        <w:spacing w:before="320" w:after="160" w:line="264" w:lineRule="auto"/>
      </w:pPr>
      <w:r>
        <w:rPr>
          <w:rFonts w:ascii="Calibri" w:hAnsi="Calibri"/>
          <w:sz w:val="32"/>
          <w:color w:val="2E74B5"/>
          <w:b/>
        </w:rPr>
        <w:t xml:space="preserve">2. Tool being built</w:t>
      </w:r>
    </w:p>
    <w:p>
      <w:pPr>
        <w:spacing w:before="0" w:after="120" w:line="264" w:lineRule="auto"/>
      </w:pPr>
      <w:r>
        <w:rPr>
          <w:rFonts w:ascii="Calibri" w:hAnsi="Calibri"/>
          <w:sz w:val="22"/>
          <w:color w:val="000000"/>
        </w:rPr>
        <w:t xml:space="preserve">The Maracuja Campaign Dashboard is an internal reporting module integrated with the company CRM (Cremona) and CMS-based client websites. It gives authorized users a concise view of advertising performance without requiring them to consult the Google Ads interface for routine reporting.</w:t>
      </w:r>
    </w:p>
    <w:p>
      <w:pPr>
        <w:spacing w:before="320" w:after="160" w:line="264" w:lineRule="auto"/>
      </w:pPr>
      <w:r>
        <w:rPr>
          <w:rFonts w:ascii="Calibri" w:hAnsi="Calibri"/>
          <w:sz w:val="32"/>
          <w:color w:val="2E74B5"/>
          <w:b/>
        </w:rPr>
        <w:t xml:space="preserve">3. Planned Google Ads API use</w:t>
      </w:r>
    </w:p>
    <w:p>
      <w:pPr>
        <w:spacing w:before="0" w:after="120" w:line="264" w:lineRule="auto"/>
      </w:pPr>
      <w:r>
        <w:rPr>
          <w:rFonts w:ascii="Calibri" w:hAnsi="Calibri"/>
          <w:sz w:val="22"/>
          <w:color w:val="000000"/>
        </w:rPr>
        <w:t xml:space="preserve">The tool will use the Google Ads API on a read-only basis to retrieve aggregate campaign performance data from Google Ads accounts that Maracuja Digital owns or is authorized to manage.</w:t>
      </w:r>
    </w:p>
    <w:p>
      <w:pPr>
        <w:spacing w:after="100" w:line="264" w:lineRule="auto"/>
        <w:ind w:left="720" w:hanging="360"/>
      </w:pPr>
      <w:r>
        <w:rPr>
          <w:rFonts w:ascii="Calibri" w:hAnsi="Calibri"/>
          <w:sz w:val="22"/>
          <w:color w:val="000000"/>
        </w:rPr>
        <w:t xml:space="preserve">•</w:t>
      </w:r>
      <w:r>
        <w:tab/>
      </w:r>
      <w:r>
        <w:rPr>
          <w:rFonts w:ascii="Calibri" w:hAnsi="Calibri"/>
          <w:sz w:val="22"/>
          <w:color w:val="000000"/>
        </w:rPr>
        <w:t xml:space="preserve">Campaign identifiers, names and status.</w:t>
      </w:r>
    </w:p>
    <w:p>
      <w:pPr>
        <w:spacing w:after="100" w:line="264" w:lineRule="auto"/>
        <w:ind w:left="720" w:hanging="360"/>
      </w:pPr>
      <w:r>
        <w:rPr>
          <w:rFonts w:ascii="Calibri" w:hAnsi="Calibri"/>
          <w:sz w:val="22"/>
          <w:color w:val="000000"/>
        </w:rPr>
        <w:t xml:space="preserve">•</w:t>
      </w:r>
      <w:r>
        <w:tab/>
      </w:r>
      <w:r>
        <w:rPr>
          <w:rFonts w:ascii="Calibri" w:hAnsi="Calibri"/>
          <w:sz w:val="22"/>
          <w:color w:val="000000"/>
        </w:rPr>
        <w:t xml:space="preserve">Daily spend, impressions, clicks and recorded conversions.</w:t>
      </w:r>
    </w:p>
    <w:p>
      <w:pPr>
        <w:spacing w:after="100" w:line="264" w:lineRule="auto"/>
        <w:ind w:left="720" w:hanging="360"/>
      </w:pPr>
      <w:r>
        <w:rPr>
          <w:rFonts w:ascii="Calibri" w:hAnsi="Calibri"/>
          <w:sz w:val="22"/>
          <w:color w:val="000000"/>
        </w:rPr>
        <w:t xml:space="preserve">•</w:t>
      </w:r>
      <w:r>
        <w:tab/>
      </w:r>
      <w:r>
        <w:rPr>
          <w:rFonts w:ascii="Calibri" w:hAnsi="Calibri"/>
          <w:sz w:val="22"/>
          <w:color w:val="000000"/>
        </w:rPr>
        <w:t xml:space="preserve">Aggregate campaign efficiency indicators such as cost per lead.</w:t>
      </w:r>
    </w:p>
    <w:p>
      <w:pPr>
        <w:spacing w:before="320" w:after="160" w:line="264" w:lineRule="auto"/>
      </w:pPr>
      <w:r>
        <w:rPr>
          <w:rFonts w:ascii="Calibri" w:hAnsi="Calibri"/>
          <w:sz w:val="32"/>
          <w:color w:val="2E74B5"/>
          <w:b/>
        </w:rPr>
        <w:t xml:space="preserve">4. Data handling and access</w:t>
      </w:r>
    </w:p>
    <w:p>
      <w:pPr>
        <w:spacing w:before="0" w:after="120" w:line="264" w:lineRule="auto"/>
      </w:pPr>
      <w:r>
        <w:rPr>
          <w:rFonts w:ascii="Calibri" w:hAnsi="Calibri"/>
          <w:sz w:val="22"/>
          <w:color w:val="000000"/>
        </w:rPr>
        <w:t xml:space="preserve">The dashboard stores only the campaign-level reporting data required for internal reporting. It is designed to display aggregate metrics and does not expose Google Ads API tokens to ordinary dashboard users. API credentials are stored in encrypted organization-level configuration and are accessible only to authorized administrators.</w:t>
      </w:r>
    </w:p>
    <w:p>
      <w:pPr>
        <w:spacing w:before="320" w:after="160" w:line="264" w:lineRule="auto"/>
      </w:pPr>
      <w:r>
        <w:rPr>
          <w:rFonts w:ascii="Calibri" w:hAnsi="Calibri"/>
          <w:sz w:val="32"/>
          <w:color w:val="2E74B5"/>
          <w:b/>
        </w:rPr>
        <w:t xml:space="preserve">5. Explicit limits</w:t>
      </w:r>
    </w:p>
    <w:p>
      <w:pPr>
        <w:spacing w:before="0" w:after="120" w:line="264" w:lineRule="auto"/>
      </w:pPr>
      <w:r>
        <w:rPr>
          <w:rFonts w:ascii="Calibri" w:hAnsi="Calibri"/>
          <w:sz w:val="22"/>
          <w:color w:val="000000"/>
        </w:rPr>
        <w:t xml:space="preserve">The Google Ads API will not be used to create, edit or automatically manage advertisements, budgets, bids, targeting, audiences or campaigns. The token will not be used with a third-party tool. The tool does not use the App Conversion Tracking API or the Remarketing API.</w:t>
      </w:r>
    </w:p>
    <w:p>
      <w:pPr>
        <w:spacing w:before="320" w:after="160" w:line="264" w:lineRule="auto"/>
      </w:pPr>
      <w:r>
        <w:rPr>
          <w:rFonts w:ascii="Calibri" w:hAnsi="Calibri"/>
          <w:sz w:val="32"/>
          <w:color w:val="2E74B5"/>
          <w:b/>
        </w:rPr>
        <w:t xml:space="preserve">6. User journey</w:t>
      </w:r>
    </w:p>
    <w:p>
      <w:pPr>
        <w:spacing w:after="100" w:line="264" w:lineRule="auto"/>
        <w:ind w:left="720" w:hanging="360"/>
      </w:pPr>
      <w:r>
        <w:rPr>
          <w:rFonts w:ascii="Calibri" w:hAnsi="Calibri"/>
          <w:sz w:val="22"/>
          <w:color w:val="000000"/>
        </w:rPr>
        <w:t xml:space="preserve">•</w:t>
      </w:r>
      <w:r>
        <w:tab/>
      </w:r>
      <w:r>
        <w:rPr>
          <w:rFonts w:ascii="Calibri" w:hAnsi="Calibri"/>
          <w:sz w:val="22"/>
          <w:color w:val="000000"/>
        </w:rPr>
        <w:t xml:space="preserve">An authorized administrator connects an approved Google Ads account to the internal dashboard.</w:t>
      </w:r>
    </w:p>
    <w:p>
      <w:pPr>
        <w:spacing w:after="100" w:line="264" w:lineRule="auto"/>
        <w:ind w:left="720" w:hanging="360"/>
      </w:pPr>
      <w:r>
        <w:rPr>
          <w:rFonts w:ascii="Calibri" w:hAnsi="Calibri"/>
          <w:sz w:val="22"/>
          <w:color w:val="000000"/>
        </w:rPr>
        <w:t xml:space="preserve">•</w:t>
      </w:r>
      <w:r>
        <w:tab/>
      </w:r>
      <w:r>
        <w:rPr>
          <w:rFonts w:ascii="Calibri" w:hAnsi="Calibri"/>
          <w:sz w:val="22"/>
          <w:color w:val="000000"/>
        </w:rPr>
        <w:t xml:space="preserve">The dashboard periodically reads campaign performance metrics through the Google Ads API.</w:t>
      </w:r>
    </w:p>
    <w:p>
      <w:pPr>
        <w:spacing w:after="100" w:line="264" w:lineRule="auto"/>
        <w:ind w:left="720" w:hanging="360"/>
      </w:pPr>
      <w:r>
        <w:rPr>
          <w:rFonts w:ascii="Calibri" w:hAnsi="Calibri"/>
          <w:sz w:val="22"/>
          <w:color w:val="000000"/>
        </w:rPr>
        <w:t xml:space="preserve">•</w:t>
      </w:r>
      <w:r>
        <w:tab/>
      </w:r>
      <w:r>
        <w:rPr>
          <w:rFonts w:ascii="Calibri" w:hAnsi="Calibri"/>
          <w:sz w:val="22"/>
          <w:color w:val="000000"/>
        </w:rPr>
        <w:t xml:space="preserve">Authorized users see an aggregated performance view, such as spend, leads and cost per lead, in Cremona and on the relevant client-site dashboard.</w:t>
      </w:r>
    </w:p>
    <w:p>
      <w:pPr>
        <w:spacing w:before="320" w:after="160" w:line="264" w:lineRule="auto"/>
      </w:pPr>
      <w:r>
        <w:rPr>
          <w:rFonts w:ascii="Calibri" w:hAnsi="Calibri"/>
          <w:sz w:val="32"/>
          <w:color w:val="2E74B5"/>
          <w:b/>
        </w:rPr>
        <w:t xml:space="preserve">7. Contact</w:t>
      </w:r>
    </w:p>
    <w:p>
      <w:pPr>
        <w:spacing w:before="0" w:after="120" w:line="264" w:lineRule="auto"/>
      </w:pPr>
      <w:r>
        <w:rPr>
          <w:rFonts w:ascii="Calibri" w:hAnsi="Calibri"/>
          <w:sz w:val="22"/>
          <w:color w:val="000000"/>
        </w:rPr>
        <w:t xml:space="preserve">API contact email: ivo@maracujadigital.fr</w:t>
      </w:r>
    </w:p>
    <w:sectPr>
      <w:pgSz w:w="12240" w:h="15840"/>
      <w:pgMar w:top="1440" w:right="1440" w:bottom="1440" w:left="1440" w:header="709" w:footer="709"/>
      <w:footerReference w:type="default" r:id="rId1"/>
    </w:sectPr>
  </w:body>
</w:document>
</file>

<file path=word/footer1.xml><?xml version="1.0" encoding="utf-8"?>
<w:ftr xmlns:w="http://schemas.openxmlformats.org/wordprocessingml/2006/main">
  <w:p>
    <w:pPr>
      <w:jc w:val="right"/>
    </w:pPr>
    <w:r>
      <w:rPr>
        <w:rFonts w:ascii="Calibri" w:hAnsi="Calibri"/>
        <w:sz w:val="18"/>
        <w:color w:val="555555"/>
      </w:rPr>
      <w:t>Maracuja Digital | Google Ads API documentation</w:t>
    </w:r>
  </w:p>
</w:ftr>
</file>

<file path=word/styles.xml><?xml version="1.0" encoding="utf-8"?>
<w:styles xmlns:w="http://schemas.openxmlformats.org/wordprocessingml/2006/main">
  <w:docDefaults>
    <w:rPrDefault>
      <w:rPr>
        <w:rFonts w:ascii="Calibri" w:hAnsi="Calibri"/>
        <w:sz w:val="22"/>
      </w:rPr>
    </w:rPrDefault>
  </w:docDefaults>
</w:styles>
</file>

<file path=word/_rels/document.xml.rels><?xml version="1.0" encoding="UTF-8" standalone="yes"?><Relationships xmlns="http://schemas.openxmlformats.org/package/2006/relationships"><Relationship Id="rId1" Type="http://schemas.openxmlformats.org/officeDocument/2006/relationships/footer" Target="footer1.xml"/></Relationships>
</file>