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9D4CA7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>VIAL Brasilis</w:t>
      </w:r>
    </w:p>
    <w:p w14:paraId="7981343F">
      <w:pPr>
        <w:spacing w:before="0" w:after="40"/>
        <w:jc w:val="center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Guida Operativa</w:t>
      </w:r>
    </w:p>
    <w:p w14:paraId="4643B083">
      <w:pPr>
        <w:spacing w:before="0" w:after="40"/>
        <w:jc w:val="center"/>
      </w:pPr>
      <w:r>
        <w:rPr>
          <w:rFonts w:ascii="Arial" w:hAnsi="Arial" w:eastAsia="Arial" w:cs="Arial"/>
          <w:color w:val="555555"/>
          <w:sz w:val="24"/>
          <w:szCs w:val="24"/>
        </w:rPr>
        <w:t>Apertura Partita IVA — Regime Forfettario</w:t>
      </w:r>
    </w:p>
    <w:p w14:paraId="45B729A1">
      <w:pPr>
        <w:spacing w:before="0" w:after="320"/>
        <w:jc w:val="center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>Giugno 2026</w:t>
      </w:r>
      <w:bookmarkStart w:id="0" w:name="_GoBack"/>
      <w:bookmarkEnd w:id="0"/>
    </w:p>
    <w:p w14:paraId="43299E0A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1. Premessa</w:t>
      </w:r>
    </w:p>
    <w:p w14:paraId="511D80DE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Il presente documento descrive il percorso operativo per l'apertura della Partita IVA in regime forfettario in Italia, con iscrizione alla Gestione Separata INPS. Il destinatario è un professionista con doppia cittadinanza italo-brasiliana, residente in Veneto, pensionato in Brasile (INSS), privo di qualsiasi altro reddito o contribuzione previdenziale attiva in Italia.</w:t>
      </w:r>
    </w:p>
    <w:p w14:paraId="68A7BEF1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2. Regime Forfettario — Caratteristiche Essenziali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360"/>
      </w:tblGrid>
      <w:tr w14:paraId="420E8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B7F6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Parametro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0D237"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>Dettaglio</w:t>
            </w:r>
          </w:p>
        </w:tc>
      </w:tr>
      <w:tr w14:paraId="5B156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C75FF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Aliquota IRPEF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92787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5% nei primi 5 anni di attività; 15% dal 6° anno in poi</w:t>
            </w:r>
          </w:p>
        </w:tc>
      </w:tr>
      <w:tr w14:paraId="6FFC2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736D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Base imponibile IRPEF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AF382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Ricavi × coefficiente di redditività (78% per servizi professionali — codice ATECO 74.30.09 e similari)</w:t>
            </w:r>
          </w:p>
        </w:tc>
      </w:tr>
      <w:tr w14:paraId="2EEC2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C4F27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Limite annuo di ricavi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63C06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€ 85.000 (superamento nel corso dell'anno comporta uscita dal regime nell'anno successivo)</w:t>
            </w:r>
          </w:p>
        </w:tc>
      </w:tr>
      <w:tr w14:paraId="0EC25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A9DF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IVA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0E8C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Non addebitata al cliente, non detraibile sugli acquisti — semplificazione contabile totale</w:t>
            </w:r>
          </w:p>
        </w:tc>
      </w:tr>
      <w:tr w14:paraId="3B6FC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49D46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Fatturazione elettronica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BECDB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Obbligatoria tramite Sistema di Interscambio (SDI) dell'Agenzia delle Entrate</w:t>
            </w:r>
          </w:p>
        </w:tc>
      </w:tr>
      <w:tr w14:paraId="503EE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803D2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Deducibilità delle spese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4E636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Non deducibile analiticamente — il coefficiente forfettario incorpora tutte le spese</w:t>
            </w:r>
          </w:p>
        </w:tc>
      </w:tr>
    </w:tbl>
    <w:p w14:paraId="4DCA201C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3. INPS — Gestione Separata</w:t>
      </w:r>
    </w:p>
    <w:p w14:paraId="74FA6EB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3.1 Obbligo di iscrizione</w:t>
      </w:r>
    </w:p>
    <w:p w14:paraId="042E1F4F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I titolari di Partita IVA in regime forfettario privi di altra copertura previdenziale attiva in Italia sono obbligati all'iscrizione alla Gestione Separata INPS (art. 2, comma 26, L. 335/1995). La pensione brasiliana (INSS) non costituisce copertura previdenziale italiana e non esonera dall'obbligo.</w:t>
      </w:r>
    </w:p>
    <w:p w14:paraId="65521E3C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3.2 Aliquota e calcolo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360"/>
      </w:tblGrid>
      <w:tr w14:paraId="3F0BE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B615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Parametro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B2104"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>Dettaglio</w:t>
            </w:r>
          </w:p>
        </w:tc>
      </w:tr>
      <w:tr w14:paraId="47663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5416F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Aliquota 2026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D14AB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26,23% sul reddito imponibile forfettario</w:t>
            </w:r>
          </w:p>
        </w:tc>
      </w:tr>
      <w:tr w14:paraId="397D5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4CEC7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Reddito imponibile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205CE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Ricavi × 78% (coefficiente di redditività)</w:t>
            </w:r>
          </w:p>
        </w:tc>
      </w:tr>
      <w:tr w14:paraId="0C49F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7AD68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Contributo minimo fisso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64FDE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Non previsto — si paga solo su reddito effettivo</w:t>
            </w:r>
          </w:p>
        </w:tc>
      </w:tr>
      <w:tr w14:paraId="08328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72FC3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Esenzione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18C2E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Non applicabile nella situazione descritta</w:t>
            </w:r>
          </w:p>
        </w:tc>
      </w:tr>
      <w:tr w14:paraId="7A6B2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562A9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Versamento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1BEE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In acconto e saldo, alle scadenze IRPEF (giugno/novembre), tramite modello F24</w:t>
            </w:r>
          </w:p>
        </w:tc>
      </w:tr>
    </w:tbl>
    <w:p w14:paraId="3B76D737">
      <w:pPr>
        <w:spacing w:before="80" w:after="80"/>
      </w:pPr>
    </w:p>
    <w:p w14:paraId="34F2B92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3.3 Simulazione con ricavi pari a zero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B670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F3864" w:sz="2" w:space="0"/>
              <w:left w:val="single" w:color="1F3864" w:sz="12" w:space="0"/>
              <w:bottom w:val="single" w:color="1F3864" w:sz="2" w:space="0"/>
              <w:right w:val="single" w:color="1F3864" w:sz="2" w:space="0"/>
            </w:tcBorders>
            <w:shd w:val="clear" w:color="auto" w:fill="EEF3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E50561A">
            <w:pPr>
              <w:jc w:val="both"/>
            </w:pPr>
            <w:r>
              <w:rPr>
                <w:rFonts w:ascii="Arial" w:hAnsi="Arial" w:eastAsia="Arial" w:cs="Arial"/>
                <w:i/>
                <w:iCs/>
                <w:sz w:val="20"/>
                <w:szCs w:val="20"/>
              </w:rPr>
              <w:t>Con ricavi pari a € 0: IRPEF = € 0 | INPS Gestione Separata = € 0 | Costo fisso annuo = solo il canone della piattaforma contabile (€ 200–400). Nessun minimo contributivo obbligatorio.</w:t>
            </w:r>
          </w:p>
        </w:tc>
      </w:tr>
    </w:tbl>
    <w:p w14:paraId="196AAE0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3.4 Simulazione con ricavi pari a € 10.000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360"/>
      </w:tblGrid>
      <w:tr w14:paraId="2B985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3248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Voce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50073"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>Importo</w:t>
            </w:r>
          </w:p>
        </w:tc>
      </w:tr>
      <w:tr w14:paraId="11160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0035A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Ricavi lordi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57E76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€ 10.000</w:t>
            </w:r>
          </w:p>
        </w:tc>
      </w:tr>
      <w:tr w14:paraId="027B2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12B44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Base imponibile forfettaria (× 78%)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644FB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€ 7.800</w:t>
            </w:r>
          </w:p>
        </w:tc>
      </w:tr>
      <w:tr w14:paraId="774E5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7733D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INPS Gestione Separata (26,23%)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E211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€ 2.046</w:t>
            </w:r>
          </w:p>
        </w:tc>
      </w:tr>
      <w:tr w14:paraId="27E26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445B8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Base IRPEF (reddito − INPS)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1403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€ 5.754</w:t>
            </w:r>
          </w:p>
        </w:tc>
      </w:tr>
      <w:tr w14:paraId="5FF52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F92F5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IRPEF (5% — primi 5 anni)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11927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€ 288</w:t>
            </w:r>
          </w:p>
        </w:tc>
      </w:tr>
      <w:tr w14:paraId="19D27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4C4C8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Piattaforma contabile (stima)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E8896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€ 300</w:t>
            </w:r>
          </w:p>
        </w:tc>
      </w:tr>
      <w:tr w14:paraId="7743A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C6D76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Onere totale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BC8D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€ 2.634</w:t>
            </w:r>
          </w:p>
        </w:tc>
      </w:tr>
      <w:tr w14:paraId="4A0BD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FCF96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Netto disponibile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DA040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€ 7.366 (73,7% dei ricavi lordi)</w:t>
            </w:r>
          </w:p>
        </w:tc>
      </w:tr>
    </w:tbl>
    <w:p w14:paraId="35A06BFF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4. Passo a Passo — Apertura della Partita IVA</w:t>
      </w:r>
    </w:p>
    <w:p w14:paraId="038A621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Fase 1 — Scelta del codice ATECO</w:t>
      </w:r>
    </w:p>
    <w:p w14:paraId="3B81047B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Scegliere il codice ATECO più adatto alla propria attività principale. Per i servizi di traduzione, insegnamento e supporto commerciale in fiere:</w:t>
      </w:r>
    </w:p>
    <w:p w14:paraId="11BCBC60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360"/>
      </w:tblGrid>
      <w:tr w14:paraId="54E5A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4CD4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Codice ATECO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A130"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>Descrizione</w:t>
            </w:r>
          </w:p>
        </w:tc>
      </w:tr>
      <w:tr w14:paraId="103DB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2774B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74.30.09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DBDFF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Altre attività di traduzione e interpretariato (primario consigliato)</w:t>
            </w:r>
          </w:p>
        </w:tc>
      </w:tr>
      <w:tr w14:paraId="0DD99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D3500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85.59.20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88F5A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Corsi di lingue</w:t>
            </w:r>
          </w:p>
        </w:tc>
      </w:tr>
      <w:tr w14:paraId="5B8E1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2F6DA">
            <w:r>
              <w:rPr>
                <w:rFonts w:ascii="Arial" w:hAnsi="Arial" w:eastAsia="Arial" w:cs="Arial"/>
                <w:b/>
                <w:bCs/>
                <w:color w:val="000000"/>
                <w:sz w:val="20"/>
                <w:szCs w:val="20"/>
              </w:rPr>
              <w:t>82.30.09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38D50">
            <w:r>
              <w:rPr>
                <w:rFonts w:ascii="Arial" w:hAnsi="Arial" w:eastAsia="Arial" w:cs="Arial"/>
                <w:color w:val="000000"/>
                <w:sz w:val="20"/>
                <w:szCs w:val="20"/>
              </w:rPr>
              <w:t>Supporto a manifestazioni fieristiche e convegni</w:t>
            </w:r>
          </w:p>
        </w:tc>
      </w:tr>
    </w:tbl>
    <w:p w14:paraId="62C1ADB1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È possibile indicare un'attività principale e attività secondarie. Verificare con il commercialista quale combinazione ottimizza il coefficiente forfettario applicabile.</w:t>
      </w:r>
    </w:p>
    <w:p w14:paraId="0DD2FD2B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Fase 2 — Apertura tramite Agenzia delle Entrate (gratuita)</w:t>
      </w:r>
    </w:p>
    <w:p w14:paraId="5AD49A2C">
      <w:pPr>
        <w:spacing w:before="80" w:after="80"/>
        <w:jc w:val="both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Modalità online: </w:t>
      </w:r>
      <w:r>
        <w:rPr>
          <w:rFonts w:ascii="Arial" w:hAnsi="Arial" w:eastAsia="Arial" w:cs="Arial"/>
          <w:sz w:val="22"/>
          <w:szCs w:val="22"/>
        </w:rPr>
        <w:t xml:space="preserve">accedere al portale </w:t>
      </w:r>
      <w:r>
        <w:rPr>
          <w:rFonts w:ascii="Arial" w:hAnsi="Arial" w:eastAsia="Arial" w:cs="Arial"/>
          <w:b/>
          <w:bCs/>
          <w:sz w:val="22"/>
          <w:szCs w:val="22"/>
        </w:rPr>
        <w:t>www.agenziaentrate.gov.it</w:t>
      </w:r>
      <w:r>
        <w:rPr>
          <w:rFonts w:ascii="Arial" w:hAnsi="Arial" w:eastAsia="Arial" w:cs="Arial"/>
          <w:sz w:val="22"/>
          <w:szCs w:val="22"/>
        </w:rPr>
        <w:t xml:space="preserve"> con SPID o CIE, sezione "Servizi online" → "Dichiarazione di inizio attività". Compilare il modello AA9/12.</w:t>
      </w:r>
    </w:p>
    <w:p w14:paraId="64A597FF">
      <w:pPr>
        <w:spacing w:before="80" w:after="80"/>
        <w:jc w:val="both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Modalità sportello: </w:t>
      </w:r>
      <w:r>
        <w:rPr>
          <w:rFonts w:ascii="Arial" w:hAnsi="Arial" w:eastAsia="Arial" w:cs="Arial"/>
          <w:sz w:val="22"/>
          <w:szCs w:val="22"/>
        </w:rPr>
        <w:t>presentarsi fisicamente presso qualsiasi ufficio dell'Agenzia delle Entrate con documento d'identità e codice fiscale.</w:t>
      </w:r>
    </w:p>
    <w:p w14:paraId="69C9A8F0">
      <w:pPr>
        <w:spacing w:before="80" w:after="80"/>
        <w:jc w:val="both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Modalità tramite CAF o commercialista: </w:t>
      </w:r>
      <w:r>
        <w:rPr>
          <w:rFonts w:ascii="Arial" w:hAnsi="Arial" w:eastAsia="Arial" w:cs="Arial"/>
          <w:sz w:val="22"/>
          <w:szCs w:val="22"/>
        </w:rPr>
        <w:t>costo indicativo € 50–150. Consigliato per chi vuole delega immediata a professionista.</w:t>
      </w:r>
    </w:p>
    <w:p w14:paraId="500E7D95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Tempi: la Partita IVA viene assegnata immediatamente o entro 24 ore dall'apertura.</w:t>
      </w:r>
    </w:p>
    <w:p w14:paraId="5FF0D414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Fase 3 — Iscrizione alla Gestione Separata INPS</w:t>
      </w:r>
    </w:p>
    <w:p w14:paraId="656B2247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L'iscrizione avviene automaticamente alla prima dichiarazione dei redditi con reddito da lavoro autonomo. Tuttavia è consigliabile registrarsi preventivamente:</w:t>
      </w:r>
    </w:p>
    <w:p w14:paraId="1347470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INPS online: </w:t>
      </w:r>
      <w:r>
        <w:rPr>
          <w:rFonts w:ascii="Arial" w:hAnsi="Arial" w:eastAsia="Arial" w:cs="Arial"/>
          <w:sz w:val="22"/>
          <w:szCs w:val="22"/>
        </w:rPr>
        <w:t xml:space="preserve">Accedere al portale </w:t>
      </w:r>
    </w:p>
    <w:p w14:paraId="23169BC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b/>
          <w:bCs/>
          <w:sz w:val="22"/>
          <w:szCs w:val="22"/>
        </w:rPr>
        <w:t xml:space="preserve">INPS online: </w:t>
      </w:r>
      <w:r>
        <w:rPr>
          <w:rFonts w:ascii="Arial" w:hAnsi="Arial" w:eastAsia="Arial" w:cs="Arial"/>
          <w:sz w:val="22"/>
          <w:szCs w:val="22"/>
        </w:rPr>
        <w:t>www.inps.it con SPID o CIE → sezione "Gestione Separata" → "Iscrizione".</w:t>
      </w:r>
    </w:p>
    <w:p w14:paraId="0823281E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Presentarsi alla sede INPS territoriale di competenza con documento d'identità, codice fiscale e Partita IVA appena aperta.</w:t>
      </w:r>
    </w:p>
    <w:p w14:paraId="08E9E361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Fase 4 — Scelta della piattaforma contabile</w:t>
      </w:r>
    </w:p>
    <w:p w14:paraId="01DACA97">
      <w:pPr>
        <w:spacing w:before="80" w:after="80"/>
        <w:jc w:val="both"/>
      </w:pPr>
      <w:r>
        <w:rPr>
          <w:rFonts w:ascii="Arial" w:hAnsi="Arial" w:eastAsia="Arial" w:cs="Arial"/>
          <w:sz w:val="22"/>
          <w:szCs w:val="22"/>
        </w:rPr>
        <w:t>Il titolare di Partita IVA in regime forfettario è obbligato all'emissione di fattura elettronica tramite SDI. Le piattaforme digitali gestiscono l'intero ciclo: emissione, invio, conservazione e dichiarazione.</w:t>
      </w:r>
    </w:p>
    <w:tbl>
      <w:tblPr>
        <w:tblStyle w:val="9"/>
        <w:tblW w:w="9440" w:type="dxa"/>
        <w:tblInd w:w="-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"/>
        <w:gridCol w:w="2000"/>
        <w:gridCol w:w="2200"/>
        <w:gridCol w:w="2200"/>
        <w:gridCol w:w="2880"/>
        <w:gridCol w:w="80"/>
      </w:tblGrid>
      <w:tr w14:paraId="789FB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1"/>
          <w:wBefore w:w="80" w:type="dxa"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D15F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Piattaforma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BC4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Costo annuo (indicativo)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DDC9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Commercialista incluso</w:t>
            </w:r>
          </w:p>
        </w:tc>
        <w:tc>
          <w:tcPr>
            <w:tcW w:w="29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6D1A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14:paraId="243C3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1"/>
          <w:wBefore w:w="80" w:type="dxa"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66B0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Fiscozen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DEB0">
            <w:r>
              <w:rPr>
                <w:rFonts w:ascii="Arial" w:hAnsi="Arial" w:eastAsia="Arial" w:cs="Arial"/>
                <w:sz w:val="20"/>
                <w:szCs w:val="20"/>
              </w:rPr>
              <w:t>€ 349 / anno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5C0A9">
            <w:r>
              <w:rPr>
                <w:rFonts w:ascii="Arial" w:hAnsi="Arial" w:eastAsia="Arial" w:cs="Arial"/>
                <w:sz w:val="20"/>
                <w:szCs w:val="20"/>
              </w:rPr>
              <w:t>Sì — dedicato</w:t>
            </w:r>
          </w:p>
        </w:tc>
        <w:tc>
          <w:tcPr>
            <w:tcW w:w="29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A521B">
            <w:r>
              <w:rPr>
                <w:rFonts w:ascii="Arial" w:hAnsi="Arial" w:eastAsia="Arial" w:cs="Arial"/>
                <w:sz w:val="20"/>
                <w:szCs w:val="20"/>
              </w:rPr>
              <w:t>Leader di mercato. Include dichiarazione redditi, F24, consulenza continuativa.</w:t>
            </w:r>
          </w:p>
        </w:tc>
      </w:tr>
      <w:tr w14:paraId="35509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1"/>
          <w:wBefore w:w="80" w:type="dxa"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295E6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Taxman Italia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D4C3F">
            <w:r>
              <w:rPr>
                <w:rFonts w:ascii="Arial" w:hAnsi="Arial" w:eastAsia="Arial" w:cs="Arial"/>
                <w:sz w:val="20"/>
                <w:szCs w:val="20"/>
              </w:rPr>
              <w:t>€ 199–299 / anno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60D70">
            <w:r>
              <w:rPr>
                <w:rFonts w:ascii="Arial" w:hAnsi="Arial" w:eastAsia="Arial" w:cs="Arial"/>
                <w:sz w:val="20"/>
                <w:szCs w:val="20"/>
              </w:rPr>
              <w:t>Sì</w:t>
            </w:r>
          </w:p>
        </w:tc>
        <w:tc>
          <w:tcPr>
            <w:tcW w:w="29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E5D57">
            <w:r>
              <w:rPr>
                <w:rFonts w:ascii="Arial" w:hAnsi="Arial" w:eastAsia="Arial" w:cs="Arial"/>
                <w:sz w:val="20"/>
                <w:szCs w:val="20"/>
              </w:rPr>
              <w:t>Soluzione economica. Minore reattività del supporto rispetto a Fiscozen.</w:t>
            </w:r>
          </w:p>
        </w:tc>
      </w:tr>
      <w:tr w14:paraId="32D30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1"/>
          <w:wBefore w:w="80" w:type="dxa"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B8FCF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Buildo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715C6">
            <w:r>
              <w:rPr>
                <w:rFonts w:ascii="Arial" w:hAnsi="Arial" w:eastAsia="Arial" w:cs="Arial"/>
                <w:sz w:val="20"/>
                <w:szCs w:val="20"/>
              </w:rPr>
              <w:t>€ 250 / anno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D7B0F">
            <w:r>
              <w:rPr>
                <w:rFonts w:ascii="Arial" w:hAnsi="Arial" w:eastAsia="Arial" w:cs="Arial"/>
                <w:sz w:val="20"/>
                <w:szCs w:val="20"/>
              </w:rPr>
              <w:t>Sì</w:t>
            </w:r>
          </w:p>
        </w:tc>
        <w:tc>
          <w:tcPr>
            <w:tcW w:w="29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133EE">
            <w:r>
              <w:rPr>
                <w:rFonts w:ascii="Arial" w:hAnsi="Arial" w:eastAsia="Arial" w:cs="Arial"/>
                <w:sz w:val="20"/>
                <w:szCs w:val="20"/>
              </w:rPr>
              <w:t>Interfaccia moderna. Apertura Partita IVA inclusa nel servizio.</w:t>
            </w:r>
          </w:p>
        </w:tc>
      </w:tr>
      <w:tr w14:paraId="73F38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Before w:val="1"/>
          <w:wBefore w:w="80" w:type="dxa"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28A95">
            <w:pPr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58432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25CCF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W w:w="2960" w:type="dxa"/>
            <w:gridSpan w:val="2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02020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</w:tr>
      <w:tr w14:paraId="5E0FA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80" w:type="dxa"/>
        </w:trPr>
        <w:tc>
          <w:tcPr>
            <w:tcW w:w="9360" w:type="dxa"/>
            <w:gridSpan w:val="5"/>
            <w:tcBorders>
              <w:top w:val="single" w:color="1F3864" w:sz="2" w:space="0"/>
              <w:left w:val="single" w:color="1F3864" w:sz="12" w:space="0"/>
              <w:bottom w:val="single" w:color="1F3864" w:sz="2" w:space="0"/>
              <w:right w:val="single" w:color="1F3864" w:sz="2" w:space="0"/>
            </w:tcBorders>
            <w:shd w:val="clear" w:color="auto" w:fill="EEF3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64FB822">
            <w:pPr>
              <w:jc w:val="both"/>
            </w:pPr>
            <w:r>
              <w:rPr>
                <w:rFonts w:ascii="Arial" w:hAnsi="Arial" w:eastAsia="Arial" w:cs="Arial"/>
                <w:i/>
                <w:iCs/>
                <w:sz w:val="20"/>
                <w:szCs w:val="20"/>
              </w:rPr>
              <w:t>Raccomandazione: Fiscozen per chi privilegia qualità del supporto; Taxman o Buildo per chi privilegia il costo. Tutte e tre gestiscono l'apertura della Partita IVA, la fatturazione elettronica SDI, i versamenti F24 e la dichiarazione dei redditi annuale.</w:t>
            </w:r>
          </w:p>
        </w:tc>
      </w:tr>
    </w:tbl>
    <w:p w14:paraId="7B3036D5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Fase 5 — Adempimenti dopo l'apertura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3300"/>
        <w:gridCol w:w="5360"/>
      </w:tblGrid>
      <w:tr w14:paraId="77A45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17FC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2BA7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Adempimento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4280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14:paraId="7118C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7DE5F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799AE">
            <w:r>
              <w:rPr>
                <w:rFonts w:ascii="Arial" w:hAnsi="Arial" w:eastAsia="Arial" w:cs="Arial"/>
                <w:sz w:val="20"/>
                <w:szCs w:val="20"/>
              </w:rPr>
              <w:t>Comunicazione INPS apertura attività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83951">
            <w:r>
              <w:rPr>
                <w:rFonts w:ascii="Arial" w:hAnsi="Arial" w:eastAsia="Arial" w:cs="Arial"/>
                <w:sz w:val="20"/>
                <w:szCs w:val="20"/>
              </w:rPr>
              <w:t>Entro 30 giorni dall'apertura tramite portale INPS</w:t>
            </w:r>
          </w:p>
        </w:tc>
      </w:tr>
      <w:tr w14:paraId="15B55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1182E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E2A4D">
            <w:r>
              <w:rPr>
                <w:rFonts w:ascii="Arial" w:hAnsi="Arial" w:eastAsia="Arial" w:cs="Arial"/>
                <w:sz w:val="20"/>
                <w:szCs w:val="20"/>
              </w:rPr>
              <w:t>Attivazione fatturazione elettronica SDI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D189C">
            <w:r>
              <w:rPr>
                <w:rFonts w:ascii="Arial" w:hAnsi="Arial" w:eastAsia="Arial" w:cs="Arial"/>
                <w:sz w:val="20"/>
                <w:szCs w:val="20"/>
              </w:rPr>
              <w:t>Gestita automaticamente dalla piattaforma scelta</w:t>
            </w:r>
          </w:p>
        </w:tc>
      </w:tr>
      <w:tr w14:paraId="7EF64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E88C">
            <w:r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E71E5">
            <w:r>
              <w:rPr>
                <w:rFonts w:ascii="Arial" w:hAnsi="Arial" w:eastAsia="Arial" w:cs="Arial"/>
                <w:sz w:val="20"/>
                <w:szCs w:val="20"/>
              </w:rPr>
              <w:t>Versamento contributi INPS (F24)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F124B">
            <w:r>
              <w:rPr>
                <w:rFonts w:ascii="Arial" w:hAnsi="Arial" w:eastAsia="Arial" w:cs="Arial"/>
                <w:sz w:val="20"/>
                <w:szCs w:val="20"/>
              </w:rPr>
              <w:t>Giugno (acconto) e novembre (saldo) di ogni anno</w:t>
            </w:r>
          </w:p>
        </w:tc>
      </w:tr>
      <w:tr w14:paraId="7052D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9BCD1">
            <w:r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23181">
            <w:r>
              <w:rPr>
                <w:rFonts w:ascii="Arial" w:hAnsi="Arial" w:eastAsia="Arial" w:cs="Arial"/>
                <w:sz w:val="20"/>
                <w:szCs w:val="20"/>
              </w:rPr>
              <w:t>Dichiarazione dei redditi annuale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5614E">
            <w:r>
              <w:rPr>
                <w:rFonts w:ascii="Arial" w:hAnsi="Arial" w:eastAsia="Arial" w:cs="Arial"/>
                <w:sz w:val="20"/>
                <w:szCs w:val="20"/>
              </w:rPr>
              <w:t>Modello Redditi PF — gestita dalla piattaforma</w:t>
            </w:r>
          </w:p>
        </w:tc>
      </w:tr>
      <w:tr w14:paraId="1985E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AEF2">
            <w:r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3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40E3B">
            <w:r>
              <w:rPr>
                <w:rFonts w:ascii="Arial" w:hAnsi="Arial" w:eastAsia="Arial" w:cs="Arial"/>
                <w:sz w:val="20"/>
                <w:szCs w:val="20"/>
              </w:rPr>
              <w:t>Conservazione fatture emesse e ricevute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3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5DB5E">
            <w:r>
              <w:rPr>
                <w:rFonts w:ascii="Arial" w:hAnsi="Arial" w:eastAsia="Arial" w:cs="Arial"/>
                <w:sz w:val="20"/>
                <w:szCs w:val="20"/>
              </w:rPr>
              <w:t>Conservazione digitale obbligatoria per 10 anni — inclusa nella piattaforma</w:t>
            </w:r>
          </w:p>
        </w:tc>
      </w:tr>
    </w:tbl>
    <w:p w14:paraId="656DAAC1">
      <w:pPr>
        <w:pStyle w:val="2"/>
        <w:spacing w:before="320" w:after="160"/>
      </w:pPr>
      <w:r>
        <w:rPr>
          <w:rFonts w:ascii="Arial" w:hAnsi="Arial" w:eastAsia="Arial" w:cs="Arial"/>
          <w:b/>
          <w:bCs/>
          <w:color w:val="1F3864"/>
          <w:sz w:val="28"/>
          <w:szCs w:val="28"/>
        </w:rPr>
        <w:t>5. Avvertenza Legale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09C1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1F3864" w:sz="2" w:space="0"/>
              <w:left w:val="single" w:color="1F3864" w:sz="12" w:space="0"/>
              <w:bottom w:val="single" w:color="1F3864" w:sz="2" w:space="0"/>
              <w:right w:val="single" w:color="1F3864" w:sz="2" w:space="0"/>
            </w:tcBorders>
            <w:shd w:val="clear" w:color="auto" w:fill="EEF3FA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2E12A393">
            <w:pPr>
              <w:jc w:val="both"/>
            </w:pPr>
            <w:r>
              <w:rPr>
                <w:rFonts w:ascii="Arial" w:hAnsi="Arial" w:eastAsia="Arial" w:cs="Arial"/>
                <w:i/>
                <w:iCs/>
                <w:sz w:val="20"/>
                <w:szCs w:val="20"/>
              </w:rPr>
              <w:t>Il presente documento ha finalità informativa e non costituisce consulenza fiscale, previdenziale o legale. Le aliquote, i coefficienti e le soglie indicate sono riferiti all'anno fiscale 2026 e soggetti a variazione normativa. Prima di procedere all'apertura della Partita IVA e all'iscrizione INPS, si raccomanda di verificare la propria posizione specifica con un commercialista abilitato o un CAF autorizzato.</w:t>
            </w:r>
          </w:p>
        </w:tc>
      </w:tr>
    </w:tbl>
    <w:p w14:paraId="3097E37D">
      <w:pPr>
        <w:pBdr>
          <w:top w:val="single" w:color="1F3864" w:sz="6" w:space="1"/>
        </w:pBdr>
        <w:spacing w:before="320" w:after="0"/>
        <w:jc w:val="center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>VIAL Brasilis — Documento interno — Giugno 2026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AB224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1F3864"/>
      <w:sz w:val="24"/>
      <w:szCs w:val="24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5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702</Words>
  <Characters>4250</Characters>
  <TotalTime>2</TotalTime>
  <ScaleCrop>false</ScaleCrop>
  <LinksUpToDate>false</LinksUpToDate>
  <CharactersWithSpaces>4854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2026-06-27T10:17:00Z</dcterms:created>
  <dc:creator>Un-named</dc:creator>
  <cp:lastModifiedBy>WPS_1781516898</cp:lastModifiedBy>
  <dcterms:modified xsi:type="dcterms:W3CDTF">2026-06-27T10:23:18Z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eyJoZGlkIjoiZDk0YzVlOWUwMzMwYjY2NTJjNzVmOTZkOTVlNzYxZTYiLCJ1c2VySWQiOiIyMDYxNTg2Nzk1Nzk4In0=</vt:lpwstr>
  </property>
  <property fmtid="{D5CDD505-2E9C-101B-9397-08002B2CF9AE}" pid="3" name="KSOProductBuildVer">
    <vt:lpwstr>1046-12.1.0.26880</vt:lpwstr>
  </property>
  <property fmtid="{D5CDD505-2E9C-101B-9397-08002B2CF9AE}" pid="4" name="ICV">
    <vt:lpwstr>E5D329E3622946EAAA8CB1141B3488F2_12</vt:lpwstr>
  </property>
</Properties>
</file>