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Kế</w:t>
      </w:r>
      <w:r>
        <w:t xml:space="preserve"> </w:t>
      </w:r>
      <w:r>
        <w:t xml:space="preserve">hoạch</w:t>
      </w:r>
      <w:r>
        <w:t xml:space="preserve"> </w:t>
      </w:r>
      <w:r>
        <w:t xml:space="preserve">xây</w:t>
      </w:r>
      <w:r>
        <w:t xml:space="preserve"> </w:t>
      </w:r>
      <w:r>
        <w:t xml:space="preserve">dựng</w:t>
      </w:r>
      <w:r>
        <w:t xml:space="preserve"> </w:t>
      </w:r>
      <w:r>
        <w:t xml:space="preserve">phòng</w:t>
      </w:r>
      <w:r>
        <w:t xml:space="preserve"> </w:t>
      </w:r>
      <w:r>
        <w:t xml:space="preserve">Partnership</w:t>
      </w:r>
      <w:r>
        <w:t xml:space="preserve"> </w:t>
      </w:r>
      <w:r>
        <w:t xml:space="preserve">–</w:t>
      </w:r>
      <w:r>
        <w:t xml:space="preserve"> </w:t>
      </w:r>
      <w:r>
        <w:t xml:space="preserve">trình</w:t>
      </w:r>
      <w:r>
        <w:t xml:space="preserve"> </w:t>
      </w:r>
      <w:r>
        <w:t xml:space="preserve">lãnh</w:t>
      </w:r>
      <w:r>
        <w:t xml:space="preserve"> </w:t>
      </w:r>
      <w:r>
        <w:t xml:space="preserve">đạo</w:t>
      </w:r>
    </w:p>
    <w:p>
      <w:pPr>
        <w:pStyle w:val="Date"/>
      </w:pPr>
      <w:r>
        <w:t xml:space="preserve">Ngày</w:t>
      </w:r>
      <w:r>
        <w:t xml:space="preserve"> </w:t>
      </w:r>
      <w:r>
        <w:t xml:space="preserve">30/10/2026</w:t>
      </w:r>
    </w:p>
    <w:bookmarkStart w:id="20" w:name="mục-tiêu-và-tầm-nhìn"/>
    <w:p>
      <w:pPr>
        <w:pStyle w:val="Heading2"/>
      </w:pPr>
      <w:r>
        <w:t xml:space="preserve">1. Mục tiêu và tầm nhìn</w:t>
      </w:r>
    </w:p>
    <w:p>
      <w:pPr>
        <w:pStyle w:val="FirstParagraph"/>
      </w:pPr>
      <w:r>
        <w:t xml:space="preserve">V-Tech Hub là sân chơi tổng hợp giải pháp của các đối tác về cloud, an ninh mạng và AI cho doanh nghiệp. Tôi xây phòng Partnership để làm</w:t>
      </w:r>
      <w:r>
        <w:t xml:space="preserve"> </w:t>
      </w:r>
      <w:r>
        <w:rPr>
          <w:bCs/>
          <w:b/>
        </w:rPr>
        <w:t xml:space="preserve">chủ sân</w:t>
      </w:r>
      <w:r>
        <w:t xml:space="preserve">: làm sân đầy, đặt luật chơi, kéo người chơi vào và biến quan tâm thành giao dịch.</w:t>
      </w:r>
    </w:p>
    <w:p>
      <w:pPr>
        <w:pStyle w:val="BodyText"/>
      </w:pPr>
      <w:r>
        <w:rPr>
          <w:bCs/>
          <w:b/>
        </w:rPr>
        <w:t xml:space="preserve">Tầm nhìn 24 tháng:</w:t>
      </w:r>
      <w:r>
        <w:t xml:space="preserve"> </w:t>
      </w:r>
      <w:r>
        <w:t xml:space="preserve">V-Tech Hub là nơi doanh nghiệp Việt Nam tìm giải pháp đã được thẩm định, và là cửa vào thị trường doanh nghiệp cho partner công nghệ giỏi.</w:t>
      </w:r>
    </w:p>
    <w:p>
      <w:pPr>
        <w:pStyle w:val="BodyText"/>
      </w:pPr>
      <w:r>
        <w:rPr>
          <w:bCs/>
          <w:b/>
        </w:rPr>
        <w:t xml:space="preserve">5 mục đích của phòng:</w:t>
      </w:r>
    </w:p>
    <w:p>
      <w:pPr>
        <w:numPr>
          <w:ilvl w:val="0"/>
          <w:numId w:val="1001"/>
        </w:numPr>
        <w:pStyle w:val="Compact"/>
      </w:pPr>
      <w:r>
        <w:t xml:space="preserve">Làm đầy sân: có đúng partner, đúng giải pháp.</w:t>
      </w:r>
    </w:p>
    <w:p>
      <w:pPr>
        <w:numPr>
          <w:ilvl w:val="0"/>
          <w:numId w:val="1001"/>
        </w:numPr>
        <w:pStyle w:val="Compact"/>
      </w:pPr>
      <w:r>
        <w:t xml:space="preserve">Đặt luật chơi: chuẩn chất lượng và trách nhiệm rõ ràng.</w:t>
      </w:r>
    </w:p>
    <w:p>
      <w:pPr>
        <w:numPr>
          <w:ilvl w:val="0"/>
          <w:numId w:val="1001"/>
        </w:numPr>
        <w:pStyle w:val="Compact"/>
      </w:pPr>
      <w:r>
        <w:t xml:space="preserve">Kéo người chơi vào: khách hàng, chuyên gia, lead.</w:t>
      </w:r>
    </w:p>
    <w:p>
      <w:pPr>
        <w:numPr>
          <w:ilvl w:val="0"/>
          <w:numId w:val="1001"/>
        </w:numPr>
        <w:pStyle w:val="Compact"/>
      </w:pPr>
      <w:r>
        <w:t xml:space="preserve">Biến quan tâm thành giao dịch: PoC rồi deal.</w:t>
      </w:r>
    </w:p>
    <w:p>
      <w:pPr>
        <w:numPr>
          <w:ilvl w:val="0"/>
          <w:numId w:val="1001"/>
        </w:numPr>
        <w:pStyle w:val="Compact"/>
      </w:pPr>
      <w:r>
        <w:t xml:space="preserve">Giữ sân sống: đánh giá định kỳ, cải thiện liên tục.</w:t>
      </w:r>
    </w:p>
    <w:bookmarkEnd w:id="20"/>
    <w:bookmarkStart w:id="21" w:name="kế-hoạch-306090-ngày-của-tôi"/>
    <w:p>
      <w:pPr>
        <w:pStyle w:val="Heading2"/>
      </w:pPr>
      <w:r>
        <w:t xml:space="preserve">2. Kế hoạch 30–60–90 ngày của tôi</w:t>
      </w:r>
    </w:p>
    <w:p>
      <w:pPr>
        <w:pStyle w:val="FirstParagraph"/>
      </w:pPr>
      <w:r>
        <w:t xml:space="preserve">Đi từ hiểu và chốt luật, sang dựng chuẩn, rồi mới chạy thử với ít partner. Thời gian tính từ ngày lãnh đạo phê duyệt.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35"/>
        <w:gridCol w:w="3912"/>
        <w:gridCol w:w="26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Việc tôi sẽ làm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Đầu 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Ngày 1–30: hiểu và chốt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Họp lãnh đạo để chốt mô hình, phạm vi, mục tiêu, ngân sách; phỏng vấn 5–7 người nội bộ; lập sổ partner cho các giải pháp trên Hub; rà soát các tuyên bố trên site (tên bên thứ ba, số liệu); lập ma trận ngành × giải pháp và danh sách 20 partner mục tiêu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Biên bản quyết định; sổ partner; danh sách tuyên bố đã xác nhận; ma trận phủ; danh sách 20 partner có chấm 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Ngày 31–60: dựng chuẩn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Viết Playbook v1 (onboarding, kỹ thuật, thương mại, SLA, thương hiệu); thiết kế khung hạng và hoa hồng; soạn mẫu MOU; làm bộ hồ sơ partner và chuyên gia; gặp 3 partner để kiểm chứng lý do hợp tác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v1 bản trình duyệt; khung hạng và hoa hồng (tỷ lệ do Finance chốt); mẫu MOU; partner kit; ghi chú từ 3 cuộc gặp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Ngày 61–90: chạy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Ký 3–5 design partner (BFSI, loại technology và domain consultant); dựng trang</w:t>
            </w:r>
            <w:r>
              <w:t xml:space="preserve"> </w:t>
            </w:r>
            <w:r>
              <w:t xml:space="preserve">“</w:t>
            </w:r>
            <w:r>
              <w:t xml:space="preserve">Trở thành đối tác</w:t>
            </w:r>
            <w:r>
              <w:t xml:space="preserve">”</w:t>
            </w:r>
            <w:r>
              <w:t xml:space="preserve"> </w:t>
            </w:r>
            <w:r>
              <w:t xml:space="preserve">và quy trình thẩm định 90 ngày; nối biểu mẫu liên hệ vào CRM, chỉ định người phản hồi trong 1 ngày làm việc; chuẩn bị PoC đầu tiên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MOU đã ký; trang và quy trình tuyển partner; lead vào CRM; kế hoạch PoC đầu tiên; báo cáo 90 ngày cho lãnh đạo</w:t>
            </w:r>
          </w:p>
        </w:tc>
      </w:tr>
    </w:tbl>
    <w:p>
      <w:pPr>
        <w:pStyle w:val="BodyText"/>
      </w:pPr>
      <w:r>
        <w:rPr>
          <w:bCs/>
          <w:b/>
        </w:rPr>
        <w:t xml:space="preserve">Cổng 1:</w:t>
      </w:r>
      <w:r>
        <w:t xml:space="preserve"> </w:t>
      </w:r>
      <w:r>
        <w:t xml:space="preserve">Playbook v1 được lãnh đạo duyệt thì mới sang giai đoạn thí điểm.</w:t>
      </w:r>
    </w:p>
    <w:bookmarkEnd w:id="21"/>
    <w:bookmarkStart w:id="22" w:name="đầu-ra-và-chỉ-số-thành-công"/>
    <w:p>
      <w:pPr>
        <w:pStyle w:val="Heading2"/>
      </w:pPr>
      <w:r>
        <w:t xml:space="preserve">3. Đầu ra và chỉ số thành công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27"/>
        <w:gridCol w:w="3146"/>
        <w:gridCol w:w="31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Đầu 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số đo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Làm đầy sân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Sổ partner; danh sách mục tiêu có chấm điểm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partner đạt Certified; số giải pháp đã thẩm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Đặt luật chơi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Playbook; mẫu MOU và hợp đồng; bảng chấm hạng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Tỷ lệ partner đạt chuẩn; số sự cố do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Kéo người chơi vào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 theo ngành; hồ sơ chuyên gia; trang tuyển partner; lead vào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lead từ Hub; thời gian phản hồi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Biến quan tâm thành giao dịch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 trình PoC; nhật ký deal; bảng đối soát hoa hồng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PoC; tỷ lệ PoC thành deal; doanh thu qua Hub; thời gian từ ký đến PoC đầu tiên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Giữ sân sống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hằng quý; đánh giá hạng định kỳ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NPS partner và khách; tỷ lệ partner còn hoạt động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Thành công chung</w:t>
      </w:r>
      <w:r>
        <w:t xml:space="preserve"> </w:t>
      </w:r>
      <w:r>
        <w:t xml:space="preserve">đo bằng hai con số: số partner đang hoạt động và pipeline cùng doanh thu qua Hub. Chỉ tiêu cụ thể sẽ đặt sau khi có mục tiêu lãnh đạo giao.</w:t>
      </w:r>
    </w:p>
    <w:p>
      <w:pPr>
        <w:pStyle w:val="BodyText"/>
      </w:pPr>
      <w:r>
        <w:rPr>
          <w:bCs/>
          <w:b/>
        </w:rPr>
        <w:t xml:space="preserve">Lộ trình 12 tháng, 3 cổng: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73"/>
        <w:gridCol w:w="1173"/>
        <w:gridCol w:w="3031"/>
        <w:gridCol w:w="25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gian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Cổng để sang giai đoạn sau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Nền móng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Tháng 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v1; 3–5 design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v1 được lãnh đạo duyệt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Thí điểm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Tháng 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PoC thật; 10–15 partner; 1–2 deal đầu tiên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1 case study được duyệt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Mở rộng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Tháng 7–12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25–40 partner; portal; ngành thứ 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Đạt mục tiêu năm đầu được giao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Chiều sâu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Năm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Nâng hạng Strategic; cân nhắc đồng phát triển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Các mốc số lượng là đề xuất, sẽ chỉnh theo mục tiêu lãnh đạo giao.</w:t>
      </w:r>
    </w:p>
    <w:bookmarkEnd w:id="22"/>
    <w:bookmarkStart w:id="23" w:name="tôi-cần-gì-từ-lãnh-đạo"/>
    <w:p>
      <w:pPr>
        <w:pStyle w:val="Heading2"/>
      </w:pPr>
      <w:r>
        <w:t xml:space="preserve">4. Tôi cần gì từ lãnh đạo</w:t>
      </w:r>
    </w:p>
    <w:p>
      <w:pPr>
        <w:pStyle w:val="FirstParagraph"/>
      </w:pPr>
      <w:r>
        <w:rPr>
          <w:bCs/>
          <w:b/>
        </w:rPr>
        <w:t xml:space="preserve">Quyết định:</w:t>
      </w:r>
    </w:p>
    <w:p>
      <w:pPr>
        <w:numPr>
          <w:ilvl w:val="0"/>
          <w:numId w:val="1002"/>
        </w:numPr>
        <w:pStyle w:val="Compact"/>
      </w:pPr>
      <w:r>
        <w:t xml:space="preserve">Mô hình sân chơi: mở (partner tự ký và chịu trách nhiệm), liên danh (VNETWORK ký và chịu trách nhiệm tổng) hay lai. Tôi đề xuất lai: giải pháp Certified do VNETWORK chịu trách nhiệm, partner Explorer chỉ chạy PoC. Trang Foundry hiện hứa với khách</w:t>
      </w:r>
      <w:r>
        <w:t xml:space="preserve"> </w:t>
      </w:r>
      <w:r>
        <w:t xml:space="preserve">“</w:t>
      </w:r>
      <w:r>
        <w:t xml:space="preserve">một đối tác chịu trách nhiệm</w:t>
      </w:r>
      <w:r>
        <w:t xml:space="preserve">”</w:t>
      </w:r>
      <w:r>
        <w:t xml:space="preserve">, nên điều này cần chốt trước.</w:t>
      </w:r>
    </w:p>
    <w:p>
      <w:pPr>
        <w:numPr>
          <w:ilvl w:val="0"/>
          <w:numId w:val="1002"/>
        </w:numPr>
        <w:pStyle w:val="Compact"/>
      </w:pPr>
      <w:r>
        <w:t xml:space="preserve">Phạm vi phòng: chỉ V-Tech Hub hay cả các chương trình partner khác</w:t>
      </w:r>
    </w:p>
    <w:p>
      <w:pPr>
        <w:numPr>
          <w:ilvl w:val="0"/>
          <w:numId w:val="1002"/>
        </w:numPr>
        <w:pStyle w:val="Compact"/>
      </w:pPr>
      <w:r>
        <w:t xml:space="preserve">Mục tiêu 12 tháng (số partner, pipeline hay doanh thu)</w:t>
      </w:r>
    </w:p>
    <w:p>
      <w:pPr>
        <w:numPr>
          <w:ilvl w:val="0"/>
          <w:numId w:val="1002"/>
        </w:numPr>
        <w:pStyle w:val="Compact"/>
      </w:pPr>
      <w:r>
        <w:t xml:space="preserve">Ngân sách hoa hồng, co-marketing và công cụ (portal hoặc CRM)</w:t>
      </w:r>
    </w:p>
    <w:p>
      <w:pPr>
        <w:numPr>
          <w:ilvl w:val="0"/>
          <w:numId w:val="1002"/>
        </w:numPr>
        <w:pStyle w:val="Compact"/>
      </w:pPr>
      <w:r>
        <w:t xml:space="preserve">Quyền ký MOU và duyệt hoa hồng của phòng</w:t>
      </w:r>
    </w:p>
    <w:p>
      <w:pPr>
        <w:pStyle w:val="FirstParagraph"/>
      </w:pPr>
      <w:r>
        <w:rPr>
          <w:bCs/>
          <w:b/>
        </w:rPr>
        <w:t xml:space="preserve">Nguồn lực:</w:t>
      </w:r>
      <w:r>
        <w:t xml:space="preserve"> </w:t>
      </w:r>
      <w:r>
        <w:t xml:space="preserve">một đầu mối được chỉ định ở Presales, Pháp lý, Finance, Vtro và SOC, cùng quyền truy cập nội dung site Hub và CRM.</w:t>
      </w:r>
    </w:p>
    <w:p>
      <w:pPr>
        <w:pStyle w:val="BodyText"/>
      </w:pPr>
      <w:r>
        <w:rPr>
          <w:bCs/>
          <w:b/>
        </w:rPr>
        <w:t xml:space="preserve">Tuyển dụng:</w:t>
      </w:r>
      <w:r>
        <w:t xml:space="preserve"> </w:t>
      </w:r>
      <w:r>
        <w:t xml:space="preserve">chưa đề nghị thêm người ngay. Người thứ 2 (Partner Operations) tuyển khi có hơn 10 partner hoạt động; Technical Enablement khi có hơn 3 PoC chạy song song.</w:t>
      </w:r>
    </w:p>
    <w:bookmarkEnd w:id="23"/>
    <w:bookmarkStart w:id="24" w:name="rủi-ro-và-cách-xử-lý"/>
    <w:p>
      <w:pPr>
        <w:pStyle w:val="Heading2"/>
      </w:pPr>
      <w:r>
        <w:t xml:space="preserve">5. Rủi ro và cách xử lý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24"/>
        <w:gridCol w:w="44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Rủi 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xử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Chất lượng partner không đều, ảnh hưởng thương hiệu VNETWORK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Hạng Explorer 90 ngày thẩm định; chuẩn kỹ thuật trước khi lên Certified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Xung đột kênh với Kinh doanh trực tiếp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 tắc đăng ký deal ngay từ đầu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chỉ ký để có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 kết tối thiểu mỗi quý; công khai tiêu chí hạ hạng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Tuyên bố trên site chưa được xác nhận (tên bên thứ ba, số liệu)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Rà soát với Pháp lý và Marketing trong 30 ngày đầu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Quá tải khi chỉ có 1 người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Tuyển theo điều kiện kích hoạt; tự động hóa onboarding sớm</w:t>
            </w:r>
          </w:p>
        </w:tc>
      </w:tr>
    </w:tbl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xây dựng phòng Partnership – trình lãnh đạo</dc:title>
  <dc:creator/>
  <dc:language>vi</dc:language>
  <cp:keywords/>
  <dcterms:created xsi:type="dcterms:W3CDTF">2026-10-30T02:13:24Z</dcterms:created>
  <dcterms:modified xsi:type="dcterms:W3CDTF">2026-10-30T02:13:24Z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Ngày 30/10/2026</vt:lpwstr>
  </property>
</Properties>
</file>