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pharmacy platform (superseded)</w:t>
      </w:r>
    </w:p>
    <w:p>
      <w:r>
        <w:t>This file is retained for history. The full functional specification is:</w:t>
      </w:r>
    </w:p>
    <w:p>
      <w:r/>
      <w:r>
        <w:rPr>
          <w:b/>
        </w:rPr>
        <w:t>[PHARMACY-ONLINE-PLATFORM-SRS.md](./PHARMACY-ONLINE-PLATFORM-SRS.md)</w:t>
      </w:r>
      <w:r>
        <w:t xml:space="preserve"> (document SAL-PHARM-SRS-001, version 2.0)</w:t>
      </w:r>
    </w:p>
    <w:p>
      <w:r>
        <w:t>Use the SRS for client proposals, UAT, and build scope. It covers the complete platform (catalog, Rx, insurance, PMS, delivery, compliance) without implementation technology choices.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