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pPr>
        <w:pStyle w:val="Heading2"/>
      </w:pPr>
      <w:r>
        <w:t>Online pharmacy ordering and fulfilment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Quotation ID</w:t>
            </w:r>
          </w:p>
        </w:tc>
        <w:tc>
          <w:tcPr>
            <w:tcW w:type="dxa" w:w="4680"/>
          </w:tcPr>
          <w:p>
            <w:r>
              <w:t>SAL-PHARM-QT-001</w:t>
            </w:r>
          </w:p>
        </w:tc>
      </w:tr>
      <w:tr>
        <w:tc>
          <w:tcPr>
            <w:tcW w:type="dxa" w:w="4680"/>
          </w:tcPr>
          <w:p>
            <w:r>
              <w:t>Date</w:t>
            </w:r>
          </w:p>
        </w:tc>
        <w:tc>
          <w:tcPr>
            <w:tcW w:type="dxa" w:w="4680"/>
          </w:tcPr>
          <w:p>
            <w:r>
              <w:t>17 September 2026</w:t>
            </w:r>
          </w:p>
        </w:tc>
      </w:tr>
      <w:tr>
        <w:tc>
          <w:tcPr>
            <w:tcW w:type="dxa" w:w="4680"/>
          </w:tcPr>
          <w:p>
            <w:r>
              <w:t>Valid until</w:t>
            </w:r>
          </w:p>
        </w:tc>
        <w:tc>
          <w:tcPr>
            <w:tcW w:type="dxa" w:w="4680"/>
          </w:tcPr>
          <w:p>
            <w:r>
              <w:t>17 October 2026</w:t>
            </w:r>
          </w:p>
        </w:tc>
      </w:tr>
      <w:tr>
        <w:tc>
          <w:tcPr>
            <w:tcW w:type="dxa" w:w="4680"/>
          </w:tcPr>
          <w:p>
            <w:r>
              <w:t>Prepared by</w:t>
            </w:r>
          </w:p>
        </w:tc>
        <w:tc>
          <w:tcPr>
            <w:tcW w:type="dxa" w:w="4680"/>
          </w:tcPr>
          <w:p>
            <w:r>
              <w:t>Salanor Ltd, Kigali, Rwanda</w:t>
            </w:r>
          </w:p>
        </w:tc>
      </w:tr>
      <w:tr>
        <w:tc>
          <w:tcPr>
            <w:tcW w:type="dxa" w:w="4680"/>
          </w:tcPr>
          <w:p>
            <w:r>
              <w:t>Scope reference</w:t>
            </w:r>
          </w:p>
        </w:tc>
        <w:tc>
          <w:tcPr>
            <w:tcW w:type="dxa" w:w="4680"/>
          </w:tcPr>
          <w:p>
            <w:r>
              <w:t>[PHARMACY-ONLINE-PLATFORM-SRS.md](./PHARMACY-ONLINE-PLATFORM-SRS.md) (SAL-PHARM-SRS-001 v2.0)</w:t>
            </w:r>
          </w:p>
        </w:tc>
      </w:tr>
      <w:tr>
        <w:tc>
          <w:tcPr>
            <w:tcW w:type="dxa" w:w="4680"/>
          </w:tcPr>
          <w:p>
            <w:r>
              <w:t>Currency</w:t>
            </w:r>
          </w:p>
        </w:tc>
        <w:tc>
          <w:tcPr>
            <w:tcW w:type="dxa" w:w="4680"/>
          </w:tcPr>
          <w:p>
            <w:r>
              <w:t>Rwandan Francs (RWF), exclusive of any applicable taxes</w:t>
            </w:r>
          </w:p>
        </w:tc>
      </w:tr>
    </w:tbl>
    <w:p/>
    <w:p/>
    <w:p>
      <w:pPr>
        <w:pStyle w:val="Heading2"/>
      </w:pPr>
      <w:r>
        <w:t>1. Summary</w:t>
      </w:r>
    </w:p>
    <w:p>
      <w:r>
        <w:t xml:space="preserve">This quote covers </w:t>
      </w:r>
      <w:r>
        <w:rPr>
          <w:b/>
        </w:rPr>
        <w:t>design, build, integration, testing support, and initial go-live</w:t>
      </w:r>
      <w:r>
        <w:t xml:space="preserve"> for the platform described in SAL-PHARM-SRS-001. That document is the </w:t>
      </w:r>
      <w:r>
        <w:rPr>
          <w:b/>
        </w:rPr>
        <w:t>functional baseline</w:t>
      </w:r>
      <w:r>
        <w:t>: what we build matches the SRS unless you request a written change order.</w:t>
      </w:r>
    </w:p>
    <w:p>
      <w:r/>
      <w:r>
        <w:rPr>
          <w:b/>
        </w:rPr>
        <w:t>Total fixed price (full SRS scope): 5,400,000 RWF</w:t>
      </w:r>
      <w:r/>
    </w:p>
    <w:p>
      <w:r>
        <w:t xml:space="preserve">Estimated calendar duration: </w:t>
      </w:r>
      <w:r>
        <w:rPr>
          <w:b/>
        </w:rPr>
        <w:t>16 to 22 weeks</w:t>
      </w:r>
      <w:r>
        <w:t xml:space="preserve"> from contract signing and receipt of deposit, assuming workshop items in SRS section 24 are resolved within the first three weeks and the pharmacy’s PMS vendor provides integration access within a reasonable time.</w:t>
      </w:r>
    </w:p>
    <w:p>
      <w:r>
        <w:t xml:space="preserve">This is </w:t>
      </w:r>
      <w:r>
        <w:rPr>
          <w:b/>
        </w:rPr>
        <w:t>not</w:t>
      </w:r>
      <w:r>
        <w:t xml:space="preserve"> a brochure site or a WhatsApp-only ordering form. It is a regulated retail channel with prescription review, PMS alignment, and insurance-ready checkout.</w:t>
      </w:r>
    </w:p>
    <w:p/>
    <w:p>
      <w:pPr>
        <w:pStyle w:val="Heading2"/>
      </w:pPr>
      <w:r>
        <w:t>2. What is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Deliverable</w:t>
            </w:r>
          </w:p>
        </w:tc>
        <w:tc>
          <w:tcPr>
            <w:tcW w:type="dxa" w:w="4680"/>
          </w:tcPr>
          <w:p>
            <w:r>
              <w:t>Maps to SRS</w:t>
            </w:r>
          </w:p>
        </w:tc>
      </w:tr>
      <w:tr>
        <w:tc>
          <w:tcPr>
            <w:tcW w:type="dxa" w:w="4680"/>
          </w:tcPr>
          <w:p>
            <w:r>
              <w:t>Public pharmacy site (legal disclosures, catalog, search, EN/FR UI)</w:t>
            </w:r>
          </w:p>
        </w:tc>
        <w:tc>
          <w:tcPr>
            <w:tcW w:type="dxa" w:w="4680"/>
          </w:tcPr>
          <w:p>
            <w:r>
              <w:t>Sections 4, 5, 6</w:t>
            </w:r>
          </w:p>
        </w:tc>
      </w:tr>
      <w:tr>
        <w:tc>
          <w:tcPr>
            <w:tcW w:type="dxa" w:w="4680"/>
          </w:tcPr>
          <w:p>
            <w:r>
              <w:t>Patient accounts, addresses, consent and privacy flows</w:t>
            </w:r>
          </w:p>
        </w:tc>
        <w:tc>
          <w:tcPr>
            <w:tcW w:type="dxa" w:w="4680"/>
          </w:tcPr>
          <w:p>
            <w:r>
              <w:t>Sections 6, 4.3</w:t>
            </w:r>
          </w:p>
        </w:tc>
      </w:tr>
      <w:tr>
        <w:tc>
          <w:tcPr>
            <w:tcW w:type="dxa" w:w="4680"/>
          </w:tcPr>
          <w:p>
            <w:r>
              <w:t>Cart and checkout (OTC and Rx rules, branch selection)</w:t>
            </w:r>
          </w:p>
        </w:tc>
        <w:tc>
          <w:tcPr>
            <w:tcW w:type="dxa" w:w="4680"/>
          </w:tcPr>
          <w:p>
            <w:r>
              <w:t>Section 7</w:t>
            </w:r>
          </w:p>
        </w:tc>
      </w:tr>
      <w:tr>
        <w:tc>
          <w:tcPr>
            <w:tcW w:type="dxa" w:w="4680"/>
          </w:tcPr>
          <w:p>
            <w:r>
              <w:t>Prescription upload, pharmacist review queue, checklist, rejection codes</w:t>
            </w:r>
          </w:p>
        </w:tc>
        <w:tc>
          <w:tcPr>
            <w:tcW w:type="dxa" w:w="4680"/>
          </w:tcPr>
          <w:p>
            <w:r>
              <w:t>Sections 8, 9, Appendices A and C</w:t>
            </w:r>
          </w:p>
        </w:tc>
      </w:tr>
      <w:tr>
        <w:tc>
          <w:tcPr>
            <w:tcW w:type="dxa" w:w="4680"/>
          </w:tcPr>
          <w:p>
            <w:r>
              <w:t>Order lifecycle and staff console (roles per section 5)</w:t>
            </w:r>
          </w:p>
        </w:tc>
        <w:tc>
          <w:tcPr>
            <w:tcW w:type="dxa" w:w="4680"/>
          </w:tcPr>
          <w:p>
            <w:r>
              <w:t>Sections 9, 10</w:t>
            </w:r>
          </w:p>
        </w:tc>
      </w:tr>
      <w:tr>
        <w:tc>
          <w:tcPr>
            <w:tcW w:type="dxa" w:w="4680"/>
          </w:tcPr>
          <w:p>
            <w:r>
              <w:t>Pickup codes and delivery workflow (zones configured with you)</w:t>
            </w:r>
          </w:p>
        </w:tc>
        <w:tc>
          <w:tcPr>
            <w:tcW w:type="dxa" w:w="4680"/>
          </w:tcPr>
          <w:p>
            <w:r>
              <w:t>Section 11</w:t>
            </w:r>
          </w:p>
        </w:tc>
      </w:tr>
      <w:tr>
        <w:tc>
          <w:tcPr>
            <w:tcW w:type="dxa" w:w="4680"/>
          </w:tcPr>
          <w:p>
            <w:r>
              <w:t>Payments: mobile money and pay-at-pickup/co-pay flows as agreed in workshop</w:t>
            </w:r>
          </w:p>
        </w:tc>
        <w:tc>
          <w:tcPr>
            <w:tcW w:type="dxa" w:w="4680"/>
          </w:tcPr>
          <w:p>
            <w:r>
              <w:t>Section 12</w:t>
            </w:r>
          </w:p>
        </w:tc>
      </w:tr>
      <w:tr>
        <w:tc>
          <w:tcPr>
            <w:tcW w:type="dxa" w:w="4680"/>
          </w:tcPr>
          <w:p>
            <w:r>
              <w:t>Insurance context (RSSB and other schemes as data you provide; formulary warnings)</w:t>
            </w:r>
          </w:p>
        </w:tc>
        <w:tc>
          <w:tcPr>
            <w:tcW w:type="dxa" w:w="4680"/>
          </w:tcPr>
          <w:p>
            <w:r>
              <w:t>Section 13</w:t>
            </w:r>
          </w:p>
        </w:tc>
      </w:tr>
      <w:tr>
        <w:tc>
          <w:tcPr>
            <w:tcW w:type="dxa" w:w="4680"/>
          </w:tcPr>
          <w:p>
            <w:r>
              <w:t>PMS integration: catalog sync, reservation, sale reconciliation (one PMS product)</w:t>
            </w:r>
          </w:p>
        </w:tc>
        <w:tc>
          <w:tcPr>
            <w:tcW w:type="dxa" w:w="4680"/>
          </w:tcPr>
          <w:p>
            <w:r>
              <w:t>Section 14</w:t>
            </w:r>
          </w:p>
        </w:tc>
      </w:tr>
      <w:tr>
        <w:tc>
          <w:tcPr>
            <w:tcW w:type="dxa" w:w="4680"/>
          </w:tcPr>
          <w:p>
            <w:r>
              <w:t>Notifications (SMS and/or email; WhatsApp if provider account is yours)</w:t>
            </w:r>
          </w:p>
        </w:tc>
        <w:tc>
          <w:tcPr>
            <w:tcW w:type="dxa" w:w="4680"/>
          </w:tcPr>
          <w:p>
            <w:r>
              <w:t>Section 15</w:t>
            </w:r>
          </w:p>
        </w:tc>
      </w:tr>
      <w:tr>
        <w:tc>
          <w:tcPr>
            <w:tcW w:type="dxa" w:w="4680"/>
          </w:tcPr>
          <w:p>
            <w:r>
              <w:t>Returns, cancellations, complaints</w:t>
            </w:r>
          </w:p>
        </w:tc>
        <w:tc>
          <w:tcPr>
            <w:tcW w:type="dxa" w:w="4680"/>
          </w:tcPr>
          <w:p>
            <w:r>
              <w:t>Section 16</w:t>
            </w:r>
          </w:p>
        </w:tc>
      </w:tr>
      <w:tr>
        <w:tc>
          <w:tcPr>
            <w:tcW w:type="dxa" w:w="4680"/>
          </w:tcPr>
          <w:p>
            <w:r>
              <w:t>Reporting and exports (Rx log, register export, insurance pending, audit)</w:t>
            </w:r>
          </w:p>
        </w:tc>
        <w:tc>
          <w:tcPr>
            <w:tcW w:type="dxa" w:w="4680"/>
          </w:tcPr>
          <w:p>
            <w:r>
              <w:t>Section 17</w:t>
            </w:r>
          </w:p>
        </w:tc>
      </w:tr>
      <w:tr>
        <w:tc>
          <w:tcPr>
            <w:tcW w:type="dxa" w:w="4680"/>
          </w:tcPr>
          <w:p>
            <w:r>
              <w:t>Multi-branch data model (one branch live; second branch config if same PMS)</w:t>
            </w:r>
          </w:p>
        </w:tc>
        <w:tc>
          <w:tcPr>
            <w:tcW w:type="dxa" w:w="4680"/>
          </w:tcPr>
          <w:p>
            <w:r>
              <w:t>Section 18</w:t>
            </w:r>
          </w:p>
        </w:tc>
      </w:tr>
      <w:tr>
        <w:tc>
          <w:tcPr>
            <w:tcW w:type="dxa" w:w="4680"/>
          </w:tcPr>
          <w:p>
            <w:r>
              <w:t>Security and operational behaviour per NFRs</w:t>
            </w:r>
          </w:p>
        </w:tc>
        <w:tc>
          <w:tcPr>
            <w:tcW w:type="dxa" w:w="4680"/>
          </w:tcPr>
          <w:p>
            <w:r>
              <w:t>Section 19</w:t>
            </w:r>
          </w:p>
        </w:tc>
      </w:tr>
      <w:tr>
        <w:tc>
          <w:tcPr>
            <w:tcW w:type="dxa" w:w="4680"/>
          </w:tcPr>
          <w:p>
            <w:r>
              <w:t>UAT support against acceptance criteria (section 22)</w:t>
            </w:r>
          </w:p>
        </w:tc>
        <w:tc>
          <w:tcPr>
            <w:tcW w:type="dxa" w:w="4680"/>
          </w:tcPr>
          <w:p>
            <w:r>
              <w:t>Section 22</w:t>
            </w:r>
          </w:p>
        </w:tc>
      </w:tr>
      <w:tr>
        <w:tc>
          <w:tcPr>
            <w:tcW w:type="dxa" w:w="4680"/>
          </w:tcPr>
          <w:p>
            <w:r>
              <w:t>Production deployment, SSL, backup configuration</w:t>
            </w:r>
          </w:p>
        </w:tc>
        <w:tc>
          <w:tcPr>
            <w:tcW w:type="dxa" w:w="4680"/>
          </w:tcPr>
          <w:p>
            <w:r>
              <w:t>NFR-09</w:t>
            </w:r>
          </w:p>
        </w:tc>
      </w:tr>
      <w:tr>
        <w:tc>
          <w:tcPr>
            <w:tcW w:type="dxa" w:w="4680"/>
          </w:tcPr>
          <w:p>
            <w:r>
              <w:t>Two on-site or video training sessions for pharmacist and counter staff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30 days post go-live defect fix period (bugs against SRS, not new features)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pPr>
        <w:pStyle w:val="Heading2"/>
      </w:pPr>
      <w:r>
        <w:t>3. What is not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Notes</w:t>
            </w:r>
          </w:p>
        </w:tc>
      </w:tr>
      <w:tr>
        <w:tc>
          <w:tcPr>
            <w:tcW w:type="dxa" w:w="4680"/>
          </w:tcPr>
          <w:p>
            <w:r>
              <w:t>Rwanda FDA online pharmacy authorization fees and legal advice</w:t>
            </w:r>
          </w:p>
        </w:tc>
        <w:tc>
          <w:tcPr>
            <w:tcW w:type="dxa" w:w="4680"/>
          </w:tcPr>
          <w:p>
            <w:r>
              <w:t>Pharmacy responsibility</w:t>
            </w:r>
          </w:p>
        </w:tc>
      </w:tr>
      <w:tr>
        <w:tc>
          <w:tcPr>
            <w:tcW w:type="dxa" w:w="4680"/>
          </w:tcPr>
          <w:p>
            <w:r>
              <w:t>PMS license fees, RSSB contracts, payment aggregator merchant fees</w:t>
            </w:r>
          </w:p>
        </w:tc>
        <w:tc>
          <w:tcPr>
            <w:tcW w:type="dxa" w:w="4680"/>
          </w:tcPr>
          <w:p>
            <w:r>
              <w:t>Pharmacy contracts</w:t>
            </w:r>
          </w:p>
        </w:tc>
      </w:tr>
      <w:tr>
        <w:tc>
          <w:tcPr>
            <w:tcW w:type="dxa" w:w="4680"/>
          </w:tcPr>
          <w:p>
            <w:r>
              <w:t>SMS, WhatsApp, maps, or payment gateway transaction charges</w:t>
            </w:r>
          </w:p>
        </w:tc>
        <w:tc>
          <w:tcPr>
            <w:tcW w:type="dxa" w:w="4680"/>
          </w:tcPr>
          <w:p>
            <w:r>
              <w:t>Billed by providers to pharmacy</w:t>
            </w:r>
          </w:p>
        </w:tc>
      </w:tr>
      <w:tr>
        <w:tc>
          <w:tcPr>
            <w:tcW w:type="dxa" w:w="4680"/>
          </w:tcPr>
          <w:p>
            <w:r>
              <w:t>Ongoing hosting and support after the defect-fix period</w:t>
            </w:r>
          </w:p>
        </w:tc>
        <w:tc>
          <w:tcPr>
            <w:tcW w:type="dxa" w:w="4680"/>
          </w:tcPr>
          <w:p>
            <w:r>
              <w:t>See section 7 (optional retainer)</w:t>
            </w:r>
          </w:p>
        </w:tc>
      </w:tr>
      <w:tr>
        <w:tc>
          <w:tcPr>
            <w:tcW w:type="dxa" w:w="4680"/>
          </w:tcPr>
          <w:p>
            <w:r>
              <w:t>Native iOS/Android apps</w:t>
            </w:r>
          </w:p>
        </w:tc>
        <w:tc>
          <w:tcPr>
            <w:tcW w:type="dxa" w:w="4680"/>
          </w:tcPr>
          <w:p>
            <w:r>
              <w:t>Out of scope in SRS; can be quoted separately</w:t>
            </w:r>
          </w:p>
        </w:tc>
      </w:tr>
      <w:tr>
        <w:tc>
          <w:tcPr>
            <w:tcW w:type="dxa" w:w="4680"/>
          </w:tcPr>
          <w:p>
            <w:r>
              <w:t>Second PMS integration or major PMS change mid-project</w:t>
            </w:r>
          </w:p>
        </w:tc>
        <w:tc>
          <w:tcPr>
            <w:tcW w:type="dxa" w:w="4680"/>
          </w:tcPr>
          <w:p>
            <w:r>
              <w:t>Change order</w:t>
            </w:r>
          </w:p>
        </w:tc>
      </w:tr>
      <w:tr>
        <w:tc>
          <w:tcPr>
            <w:tcW w:type="dxa" w:w="4680"/>
          </w:tcPr>
          <w:p>
            <w:r>
              <w:t>Content writing beyond structure (long-form medical copy, full Kinyarwanda translation)</w:t>
            </w:r>
          </w:p>
        </w:tc>
        <w:tc>
          <w:tcPr>
            <w:tcW w:type="dxa" w:w="4680"/>
          </w:tcPr>
          <w:p>
            <w:r>
              <w:t>Client or separate copy quote</w:t>
            </w:r>
          </w:p>
        </w:tc>
      </w:tr>
      <w:tr>
        <w:tc>
          <w:tcPr>
            <w:tcW w:type="dxa" w:w="4680"/>
          </w:tcPr>
          <w:p>
            <w:r>
              <w:t>Hardware (tablets for delivery, printers)</w:t>
            </w:r>
          </w:p>
        </w:tc>
        <w:tc>
          <w:tcPr>
            <w:tcW w:type="dxa" w:w="4680"/>
          </w:tcPr>
          <w:p>
            <w:r>
              <w:t>Client</w:t>
            </w:r>
          </w:p>
        </w:tc>
      </w:tr>
    </w:tbl>
    <w:p/>
    <w:p>
      <w:r>
        <w:t xml:space="preserve">If the chosen PMS has </w:t>
      </w:r>
      <w:r>
        <w:rPr>
          <w:b/>
        </w:rPr>
        <w:t>no API</w:t>
      </w:r>
      <w:r>
        <w:t xml:space="preserve"> and only manual export/import is possible, we will agree a </w:t>
      </w:r>
      <w:r>
        <w:rPr>
          <w:b/>
        </w:rPr>
        <w:t>reduced integration scope</w:t>
      </w:r>
      <w:r>
        <w:t xml:space="preserve"> in writing during week 1. That may </w:t>
      </w:r>
      <w:r>
        <w:rPr>
          <w:b/>
        </w:rPr>
        <w:t>lower</w:t>
      </w:r>
      <w:r>
        <w:t xml:space="preserve"> price (manual sync SOP) or </w:t>
      </w:r>
      <w:r>
        <w:rPr>
          <w:b/>
        </w:rPr>
        <w:t>require a change order</w:t>
      </w:r>
      <w:r>
        <w:t xml:space="preserve"> if the pharmacy insists on real-time sync without vendor cooperation.</w:t>
      </w:r>
    </w:p>
    <w:p/>
    <w:p>
      <w:pPr>
        <w:pStyle w:val="Heading2"/>
      </w:pPr>
      <w:r>
        <w:t>4. Price breakdown (full scope)</w:t>
      </w:r>
    </w:p>
    <w:p>
      <w:r>
        <w:t>Transparent allocation for your records. Invoicing follows section 5, not line-by-line.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RWF</w:t>
            </w:r>
          </w:p>
        </w:tc>
      </w:tr>
      <w:tr>
        <w:tc>
          <w:tcPr>
            <w:tcW w:type="dxa" w:w="4680"/>
          </w:tcPr>
          <w:p>
            <w:r>
              <w:t>Discovery, information architecture, UI for patient and staff</w:t>
            </w:r>
          </w:p>
        </w:tc>
        <w:tc>
          <w:tcPr>
            <w:tcW w:type="dxa" w:w="4680"/>
          </w:tcPr>
          <w:p>
            <w:r>
              <w:t>900,000</w:t>
            </w:r>
          </w:p>
        </w:tc>
      </w:tr>
      <w:tr>
        <w:tc>
          <w:tcPr>
            <w:tcW w:type="dxa" w:w="4680"/>
          </w:tcPr>
          <w:p>
            <w:r>
              <w:t>Catalog, search, stock-aware behaviour (PMS-driven)</w:t>
            </w:r>
          </w:p>
        </w:tc>
        <w:tc>
          <w:tcPr>
            <w:tcW w:type="dxa" w:w="4680"/>
          </w:tcPr>
          <w:p>
            <w:r>
              <w:t>650,000</w:t>
            </w:r>
          </w:p>
        </w:tc>
      </w:tr>
      <w:tr>
        <w:tc>
          <w:tcPr>
            <w:tcW w:type="dxa" w:w="4680"/>
          </w:tcPr>
          <w:p>
            <w:r>
              <w:t>Accounts, cart, checkout, order state machine</w:t>
            </w:r>
          </w:p>
        </w:tc>
        <w:tc>
          <w:tcPr>
            <w:tcW w:type="dxa" w:w="4680"/>
          </w:tcPr>
          <w:p>
            <w:r>
              <w:t>850,000</w:t>
            </w:r>
          </w:p>
        </w:tc>
      </w:tr>
      <w:tr>
        <w:tc>
          <w:tcPr>
            <w:tcW w:type="dxa" w:w="4680"/>
          </w:tcPr>
          <w:p>
            <w:r>
              <w:t>Prescription intake, pharmacist workflow, audit trail</w:t>
            </w:r>
          </w:p>
        </w:tc>
        <w:tc>
          <w:tcPr>
            <w:tcW w:type="dxa" w:w="4680"/>
          </w:tcPr>
          <w:p>
            <w:r>
              <w:t>1,350,000</w:t>
            </w:r>
          </w:p>
        </w:tc>
      </w:tr>
      <w:tr>
        <w:tc>
          <w:tcPr>
            <w:tcW w:type="dxa" w:w="4680"/>
          </w:tcPr>
          <w:p>
            <w:r>
              <w:t>PMS integration (single vendor, bidirectional as per SRS 14)</w:t>
            </w:r>
          </w:p>
        </w:tc>
        <w:tc>
          <w:tcPr>
            <w:tcW w:type="dxa" w:w="4680"/>
          </w:tcPr>
          <w:p>
            <w:r>
              <w:t>950,000</w:t>
            </w:r>
          </w:p>
        </w:tc>
      </w:tr>
      <w:tr>
        <w:tc>
          <w:tcPr>
            <w:tcW w:type="dxa" w:w="4680"/>
          </w:tcPr>
          <w:p>
            <w:r>
              <w:t>Insurance and co-pay flows, reporting</w:t>
            </w:r>
          </w:p>
        </w:tc>
        <w:tc>
          <w:tcPr>
            <w:tcW w:type="dxa" w:w="4680"/>
          </w:tcPr>
          <w:p>
            <w:r>
              <w:t>650,000</w:t>
            </w:r>
          </w:p>
        </w:tc>
      </w:tr>
      <w:tr>
        <w:tc>
          <w:tcPr>
            <w:tcW w:type="dxa" w:w="4680"/>
          </w:tcPr>
          <w:p>
            <w:r>
              <w:t>Delivery, notifications, returns and complaints</w:t>
            </w:r>
          </w:p>
        </w:tc>
        <w:tc>
          <w:tcPr>
            <w:tcW w:type="dxa" w:w="4680"/>
          </w:tcPr>
          <w:p>
            <w:r>
              <w:t>450,000</w:t>
            </w:r>
          </w:p>
        </w:tc>
      </w:tr>
      <w:tr>
        <w:tc>
          <w:tcPr>
            <w:tcW w:type="dxa" w:w="4680"/>
          </w:tcPr>
          <w:p>
            <w:r>
              <w:t>UAT, deployment, training, 30-day defect period</w:t>
            </w:r>
          </w:p>
        </w:tc>
        <w:tc>
          <w:tcPr>
            <w:tcW w:type="dxa" w:w="4680"/>
          </w:tcPr>
          <w:p>
            <w:r>
              <w:t>600,000</w:t>
            </w:r>
          </w:p>
        </w:tc>
      </w:tr>
      <w:tr>
        <w:tc>
          <w:tcPr>
            <w:tcW w:type="dxa" w:w="4680"/>
          </w:tcPr>
          <w:p>
            <w:r>
              <w:t>Total</w:t>
            </w:r>
          </w:p>
        </w:tc>
        <w:tc>
          <w:tcPr>
            <w:tcW w:type="dxa" w:w="4680"/>
          </w:tcPr>
          <w:p>
            <w:r>
              <w:t>5,400,000</w:t>
            </w:r>
          </w:p>
        </w:tc>
      </w:tr>
    </w:tbl>
    <w:p/>
    <w:p/>
    <w:p>
      <w:pPr>
        <w:pStyle w:val="Heading2"/>
      </w:pPr>
      <w:r>
        <w:t>5. Payment schedule (recommended)</w:t>
      </w:r>
    </w:p>
    <w:p>
      <w:r>
        <w:t xml:space="preserve">Fixed-price work for a small business is often paid in </w:t>
      </w:r>
      <w:r>
        <w:rPr>
          <w:b/>
        </w:rPr>
        <w:t>milestones</w:t>
      </w:r>
      <w:r>
        <w:t xml:space="preserve">, not 100% upfront. A </w:t>
      </w:r>
      <w:r>
        <w:rPr>
          <w:b/>
        </w:rPr>
        <w:t>deposit plus balance at acceptance plus short installments after go-live</w:t>
      </w:r>
      <w:r>
        <w:t xml:space="preserve"> is normal in Rwanda and internationally, provided it is </w:t>
      </w:r>
      <w:r>
        <w:rPr>
          <w:b/>
        </w:rPr>
        <w:t>in a signed agreement with clear dates and deliverables</w:t>
      </w:r>
      <w:r>
        <w:t>.</w:t>
      </w:r>
    </w:p>
    <w:p>
      <w:r>
        <w:t xml:space="preserve">Proposed schedule for </w:t>
      </w:r>
      <w:r>
        <w:rPr>
          <w:b/>
        </w:rPr>
        <w:t>5,400,000 RWF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Milestone</w:t>
            </w:r>
          </w:p>
        </w:tc>
        <w:tc>
          <w:tcPr>
            <w:tcW w:type="dxa" w:w="2340"/>
          </w:tcPr>
          <w:p>
            <w:r>
              <w:t>%</w:t>
            </w:r>
          </w:p>
        </w:tc>
        <w:tc>
          <w:tcPr>
            <w:tcW w:type="dxa" w:w="2340"/>
          </w:tcPr>
          <w:p>
            <w:r>
              <w:t>Amount (RWF)</w:t>
            </w:r>
          </w:p>
        </w:tc>
        <w:tc>
          <w:tcPr>
            <w:tcW w:type="dxa" w:w="2340"/>
          </w:tcPr>
          <w:p>
            <w:r>
              <w:t>Trigger</w:t>
            </w:r>
          </w:p>
        </w:tc>
      </w:tr>
      <w:tr>
        <w:tc>
          <w:tcPr>
            <w:tcW w:type="dxa" w:w="2340"/>
          </w:tcPr>
          <w:p>
            <w:r>
              <w:t>1. Project start</w:t>
            </w:r>
          </w:p>
        </w:tc>
        <w:tc>
          <w:tcPr>
            <w:tcW w:type="dxa" w:w="2340"/>
          </w:tcPr>
          <w:p>
            <w:r>
              <w:t>30%</w:t>
            </w:r>
          </w:p>
        </w:tc>
        <w:tc>
          <w:tcPr>
            <w:tcW w:type="dxa" w:w="2340"/>
          </w:tcPr>
          <w:p>
            <w:r>
              <w:t>1,620,000</w:t>
            </w:r>
          </w:p>
        </w:tc>
        <w:tc>
          <w:tcPr>
            <w:tcW w:type="dxa" w:w="2340"/>
          </w:tcPr>
          <w:p>
            <w:r>
              <w:t>Signed agreement and invoice; deposit received before development starts</w:t>
            </w:r>
          </w:p>
        </w:tc>
      </w:tr>
      <w:tr>
        <w:tc>
          <w:tcPr>
            <w:tcW w:type="dxa" w:w="2340"/>
          </w:tcPr>
          <w:p>
            <w:r>
              <w:t>2. UAT acceptance</w:t>
            </w:r>
          </w:p>
        </w:tc>
        <w:tc>
          <w:tcPr>
            <w:tcW w:type="dxa" w:w="2340"/>
          </w:tcPr>
          <w:p>
            <w:r>
              <w:t>30%</w:t>
            </w:r>
          </w:p>
        </w:tc>
        <w:tc>
          <w:tcPr>
            <w:tcW w:type="dxa" w:w="2340"/>
          </w:tcPr>
          <w:p>
            <w:r>
              <w:t>1,620,000</w:t>
            </w:r>
          </w:p>
        </w:tc>
        <w:tc>
          <w:tcPr>
            <w:tcW w:type="dxa" w:w="2340"/>
          </w:tcPr>
          <w:p>
            <w:r>
              <w:t>Staging environment passes SRS section 22 UAT with your responsible pharmacist (or delegated tester)</w:t>
            </w:r>
          </w:p>
        </w:tc>
      </w:tr>
      <w:tr>
        <w:tc>
          <w:tcPr>
            <w:tcW w:type="dxa" w:w="2340"/>
          </w:tcPr>
          <w:p>
            <w:r>
              <w:t>3. Go-live</w:t>
            </w:r>
          </w:p>
        </w:tc>
        <w:tc>
          <w:tcPr>
            <w:tcW w:type="dxa" w:w="2340"/>
          </w:tcPr>
          <w:p>
            <w:r>
              <w:t>15%</w:t>
            </w:r>
          </w:p>
        </w:tc>
        <w:tc>
          <w:tcPr>
            <w:tcW w:type="dxa" w:w="2340"/>
          </w:tcPr>
          <w:p>
            <w:r>
              <w:t>810,000</w:t>
            </w:r>
          </w:p>
        </w:tc>
        <w:tc>
          <w:tcPr>
            <w:tcW w:type="dxa" w:w="2340"/>
          </w:tcPr>
          <w:p>
            <w:r>
              <w:t>Production launch and handover of admin access</w:t>
            </w:r>
          </w:p>
        </w:tc>
      </w:tr>
      <w:tr>
        <w:tc>
          <w:tcPr>
            <w:tcW w:type="dxa" w:w="2340"/>
          </w:tcPr>
          <w:p>
            <w:r>
              <w:t>4. Installment 1</w:t>
            </w:r>
          </w:p>
        </w:tc>
        <w:tc>
          <w:tcPr>
            <w:tcW w:type="dxa" w:w="2340"/>
          </w:tcPr>
          <w:p>
            <w:r>
              <w:t>8.33%</w:t>
            </w:r>
          </w:p>
        </w:tc>
        <w:tc>
          <w:tcPr>
            <w:tcW w:type="dxa" w:w="2340"/>
          </w:tcPr>
          <w:p>
            <w:r>
              <w:t>450,000</w:t>
            </w:r>
          </w:p>
        </w:tc>
        <w:tc>
          <w:tcPr>
            <w:tcW w:type="dxa" w:w="2340"/>
          </w:tcPr>
          <w:p>
            <w:r>
              <w:t>Due 30 days after go-live</w:t>
            </w:r>
          </w:p>
        </w:tc>
      </w:tr>
      <w:tr>
        <w:tc>
          <w:tcPr>
            <w:tcW w:type="dxa" w:w="2340"/>
          </w:tcPr>
          <w:p>
            <w:r>
              <w:t>5. Installment 2</w:t>
            </w:r>
          </w:p>
        </w:tc>
        <w:tc>
          <w:tcPr>
            <w:tcW w:type="dxa" w:w="2340"/>
          </w:tcPr>
          <w:p>
            <w:r>
              <w:t>8.33%</w:t>
            </w:r>
          </w:p>
        </w:tc>
        <w:tc>
          <w:tcPr>
            <w:tcW w:type="dxa" w:w="2340"/>
          </w:tcPr>
          <w:p>
            <w:r>
              <w:t>450,000</w:t>
            </w:r>
          </w:p>
        </w:tc>
        <w:tc>
          <w:tcPr>
            <w:tcW w:type="dxa" w:w="2340"/>
          </w:tcPr>
          <w:p>
            <w:r>
              <w:t>Due 60 days after go-live</w:t>
            </w:r>
          </w:p>
        </w:tc>
      </w:tr>
      <w:tr>
        <w:tc>
          <w:tcPr>
            <w:tcW w:type="dxa" w:w="2340"/>
          </w:tcPr>
          <w:p>
            <w:r>
              <w:t>6. Installment 3</w:t>
            </w:r>
          </w:p>
        </w:tc>
        <w:tc>
          <w:tcPr>
            <w:tcW w:type="dxa" w:w="2340"/>
          </w:tcPr>
          <w:p>
            <w:r>
              <w:t>8.34%</w:t>
            </w:r>
          </w:p>
        </w:tc>
        <w:tc>
          <w:tcPr>
            <w:tcW w:type="dxa" w:w="2340"/>
          </w:tcPr>
          <w:p>
            <w:r>
              <w:t>450,000</w:t>
            </w:r>
          </w:p>
        </w:tc>
        <w:tc>
          <w:tcPr>
            <w:tcW w:type="dxa" w:w="2340"/>
          </w:tcPr>
          <w:p>
            <w:r>
              <w:t>Due 90 days after go-live</w:t>
            </w:r>
          </w:p>
        </w:tc>
      </w:tr>
    </w:tbl>
    <w:p/>
    <w:p>
      <w:r/>
      <w:r>
        <w:rPr>
          <w:b/>
        </w:rPr>
        <w:t>Total</w:t>
      </w:r>
      <w:r>
        <w:t xml:space="preserve"> | </w:t>
      </w:r>
      <w:r>
        <w:rPr>
          <w:b/>
        </w:rPr>
        <w:t>100%</w:t>
      </w:r>
      <w:r>
        <w:t xml:space="preserve"> | </w:t>
      </w:r>
      <w:r>
        <w:rPr>
          <w:b/>
        </w:rPr>
        <w:t>5,400,000</w:t>
      </w:r>
      <w:r>
        <w:t xml:space="preserve"> |</w:t>
      </w:r>
    </w:p>
    <w:p>
      <w:r>
        <w:t>Notes:</w:t>
      </w:r>
    </w:p>
    <w:p>
      <w:pPr>
        <w:pStyle w:val="ListBullet"/>
      </w:pPr>
      <w:r>
        <w:t xml:space="preserve">Installments are </w:t>
      </w:r>
      <w:r>
        <w:rPr>
          <w:b/>
        </w:rPr>
        <w:t>interest-free</w:t>
      </w:r>
      <w:r>
        <w:t>; they are a cash-flow convenience, not a loan product.</w:t>
      </w:r>
    </w:p>
    <w:p>
      <w:pPr>
        <w:pStyle w:val="ListBullet"/>
      </w:pPr>
      <w:r>
        <w:t xml:space="preserve">If you prefer </w:t>
      </w:r>
      <w:r>
        <w:rPr>
          <w:b/>
        </w:rPr>
        <w:t>no installments</w:t>
      </w:r>
      <w:r>
        <w:t xml:space="preserve">, milestones 1 to 3 can be </w:t>
      </w:r>
      <w:r>
        <w:rPr>
          <w:b/>
        </w:rPr>
        <w:t>40% / 40% / 20%</w:t>
      </w:r>
      <w:r>
        <w:t xml:space="preserve"> with the final 20% at go-live.</w:t>
      </w:r>
    </w:p>
    <w:p>
      <w:pPr>
        <w:pStyle w:val="ListBullet"/>
      </w:pPr>
      <w:r>
        <w:t xml:space="preserve">Late payment: work pauses, hosting and support suspend after </w:t>
      </w:r>
      <w:r>
        <w:rPr>
          <w:b/>
        </w:rPr>
        <w:t>15 calendar days</w:t>
      </w:r>
      <w:r>
        <w:t xml:space="preserve"> past due date until account is current (standard B2B clause).</w:t>
      </w:r>
    </w:p>
    <w:p>
      <w:pPr>
        <w:pStyle w:val="ListBullet"/>
      </w:pPr>
      <w:r/>
      <w:r>
        <w:rPr>
          <w:b/>
        </w:rPr>
        <w:t>Intellectual property and production credentials</w:t>
      </w:r>
      <w:r>
        <w:t xml:space="preserve">: full transfer of custom code and deployment documentation upon </w:t>
      </w:r>
      <w:r>
        <w:rPr>
          <w:b/>
        </w:rPr>
        <w:t>receipt of final payment</w:t>
      </w:r>
      <w:r>
        <w:t>, unless we agree earlier transfer with a retained license clause for generic components. State this explicitly in the contract.</w:t>
      </w:r>
    </w:p>
    <w:p>
      <w:r/>
      <w:r>
        <w:rPr>
          <w:b/>
        </w:rPr>
        <w:t>Is this unprofessional?</w:t>
      </w:r>
      <w:r>
        <w:t xml:space="preserve"> No, if you present it as a </w:t>
      </w:r>
      <w:r>
        <w:rPr>
          <w:b/>
        </w:rPr>
        <w:t>milestone payment schedule</w:t>
      </w:r>
      <w:r>
        <w:t xml:space="preserve"> on letterhead with invoices, not as an informal “pay me when you can.” What sounds unprofessional is vague amounts, no written scope, or building the entire system before any deposit. Do </w:t>
      </w:r>
      <w:r>
        <w:rPr>
          <w:b/>
        </w:rPr>
        <w:t>not</w:t>
      </w:r>
      <w:r>
        <w:t xml:space="preserve"> accept 800,000 RWF for this scope; that figure is unrelated to this quote (see section 8).</w:t>
      </w:r>
    </w:p>
    <w:p/>
    <w:p>
      <w:pPr>
        <w:pStyle w:val="Heading2"/>
      </w:pPr>
      <w:r>
        <w:t>6. Timeline (indicative)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Phase</w:t>
            </w:r>
          </w:p>
        </w:tc>
        <w:tc>
          <w:tcPr>
            <w:tcW w:type="dxa" w:w="3120"/>
          </w:tcPr>
          <w:p>
            <w:r>
              <w:t>Weeks</w:t>
            </w:r>
          </w:p>
        </w:tc>
        <w:tc>
          <w:tcPr>
            <w:tcW w:type="dxa" w:w="3120"/>
          </w:tcPr>
          <w:p>
            <w:r>
              <w:t>Output</w:t>
            </w:r>
          </w:p>
        </w:tc>
      </w:tr>
      <w:tr>
        <w:tc>
          <w:tcPr>
            <w:tcW w:type="dxa" w:w="3120"/>
          </w:tcPr>
          <w:p>
            <w:r>
              <w:t>Workshop and PMS access</w:t>
            </w:r>
          </w:p>
        </w:tc>
        <w:tc>
          <w:tcPr>
            <w:tcW w:type="dxa" w:w="3120"/>
          </w:tcPr>
          <w:p>
            <w:r>
              <w:t>1 to 3</w:t>
            </w:r>
          </w:p>
        </w:tc>
        <w:tc>
          <w:tcPr>
            <w:tcW w:type="dxa" w:w="3120"/>
          </w:tcPr>
          <w:p>
            <w:r>
              <w:t>Signed integration approach, configs</w:t>
            </w:r>
          </w:p>
        </w:tc>
      </w:tr>
      <w:tr>
        <w:tc>
          <w:tcPr>
            <w:tcW w:type="dxa" w:w="3120"/>
          </w:tcPr>
          <w:p>
            <w:r>
              <w:t>Patient site and OTC path</w:t>
            </w:r>
          </w:p>
        </w:tc>
        <w:tc>
          <w:tcPr>
            <w:tcW w:type="dxa" w:w="3120"/>
          </w:tcPr>
          <w:p>
            <w:r>
              <w:t>4 to 8</w:t>
            </w:r>
          </w:p>
        </w:tc>
        <w:tc>
          <w:tcPr>
            <w:tcW w:type="dxa" w:w="3120"/>
          </w:tcPr>
          <w:p>
            <w:r>
              <w:t>Staging: browse, cart, pay or pay-at-pickup</w:t>
            </w:r>
          </w:p>
        </w:tc>
      </w:tr>
      <w:tr>
        <w:tc>
          <w:tcPr>
            <w:tcW w:type="dxa" w:w="3120"/>
          </w:tcPr>
          <w:p>
            <w:r>
              <w:t>Rx and pharmacist console</w:t>
            </w:r>
          </w:p>
        </w:tc>
        <w:tc>
          <w:tcPr>
            <w:tcW w:type="dxa" w:w="3120"/>
          </w:tcPr>
          <w:p>
            <w:r>
              <w:t>9 to 14</w:t>
            </w:r>
          </w:p>
        </w:tc>
        <w:tc>
          <w:tcPr>
            <w:tcW w:type="dxa" w:w="3120"/>
          </w:tcPr>
          <w:p>
            <w:r>
              <w:t>Staging: full Rx scenarios</w:t>
            </w:r>
          </w:p>
        </w:tc>
      </w:tr>
      <w:tr>
        <w:tc>
          <w:tcPr>
            <w:tcW w:type="dxa" w:w="3120"/>
          </w:tcPr>
          <w:p>
            <w:r>
              <w:t>Insurance and reports</w:t>
            </w:r>
          </w:p>
        </w:tc>
        <w:tc>
          <w:tcPr>
            <w:tcW w:type="dxa" w:w="3120"/>
          </w:tcPr>
          <w:p>
            <w:r>
              <w:t>15 to 17</w:t>
            </w:r>
          </w:p>
        </w:tc>
        <w:tc>
          <w:tcPr>
            <w:tcW w:type="dxa" w:w="3120"/>
          </w:tcPr>
          <w:p>
            <w:r>
              <w:t>Staging: co-pay and exports</w:t>
            </w:r>
          </w:p>
        </w:tc>
      </w:tr>
      <w:tr>
        <w:tc>
          <w:tcPr>
            <w:tcW w:type="dxa" w:w="3120"/>
          </w:tcPr>
          <w:p>
            <w:r>
              <w:t>UAT and go-live</w:t>
            </w:r>
          </w:p>
        </w:tc>
        <w:tc>
          <w:tcPr>
            <w:tcW w:type="dxa" w:w="3120"/>
          </w:tcPr>
          <w:p>
            <w:r>
              <w:t>18 to 22</w:t>
            </w:r>
          </w:p>
        </w:tc>
        <w:tc>
          <w:tcPr>
            <w:tcW w:type="dxa" w:w="3120"/>
          </w:tcPr>
          <w:p>
            <w:r>
              <w:t>Production per section 22</w:t>
            </w:r>
          </w:p>
        </w:tc>
      </w:tr>
    </w:tbl>
    <w:p/>
    <w:p>
      <w:r>
        <w:t xml:space="preserve">Delays caused by missing PMS API, unpaid third-party accounts, or FDA authorization not in place </w:t>
      </w:r>
      <w:r>
        <w:rPr>
          <w:b/>
        </w:rPr>
        <w:t>extend the timeline</w:t>
      </w:r>
      <w:r>
        <w:t xml:space="preserve"> without automatic price reduction.</w:t>
      </w:r>
    </w:p>
    <w:p/>
    <w:p>
      <w:pPr>
        <w:pStyle w:val="Heading2"/>
      </w:pPr>
      <w:r>
        <w:t>7. Optional ongoing services (after go-live)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Service</w:t>
            </w:r>
          </w:p>
        </w:tc>
        <w:tc>
          <w:tcPr>
            <w:tcW w:type="dxa" w:w="3120"/>
          </w:tcPr>
          <w:p>
            <w:r>
              <w:t>Monthly (RWF)</w:t>
            </w:r>
          </w:p>
        </w:tc>
        <w:tc>
          <w:tcPr>
            <w:tcW w:type="dxa" w:w="3120"/>
          </w:tcPr>
          <w:p>
            <w:r>
              <w:t>Includes</w:t>
            </w:r>
          </w:p>
        </w:tc>
      </w:tr>
      <w:tr>
        <w:tc>
          <w:tcPr>
            <w:tcW w:type="dxa" w:w="3120"/>
          </w:tcPr>
          <w:p>
            <w:r>
              <w:t>Care plan</w:t>
            </w:r>
          </w:p>
        </w:tc>
        <w:tc>
          <w:tcPr>
            <w:tcW w:type="dxa" w:w="3120"/>
          </w:tcPr>
          <w:p>
            <w:r>
              <w:t>320,000</w:t>
            </w:r>
          </w:p>
        </w:tc>
        <w:tc>
          <w:tcPr>
            <w:tcW w:type="dxa" w:w="3120"/>
          </w:tcPr>
          <w:p>
            <w:r>
              <w:t>Managed hosting, TLS, backups, monitoring, up to 4 hours minor fixes or config</w:t>
            </w:r>
          </w:p>
        </w:tc>
      </w:tr>
      <w:tr>
        <w:tc>
          <w:tcPr>
            <w:tcW w:type="dxa" w:w="3120"/>
          </w:tcPr>
          <w:p>
            <w:r>
              <w:t>Care plus</w:t>
            </w:r>
          </w:p>
        </w:tc>
        <w:tc>
          <w:tcPr>
            <w:tcW w:type="dxa" w:w="3120"/>
          </w:tcPr>
          <w:p>
            <w:r>
              <w:t>480,000</w:t>
            </w:r>
          </w:p>
        </w:tc>
        <w:tc>
          <w:tcPr>
            <w:tcW w:type="dxa" w:w="3120"/>
          </w:tcPr>
          <w:p>
            <w:r>
              <w:t>Above plus priority response, monthly sync health review, security patches</w:t>
            </w:r>
          </w:p>
        </w:tc>
      </w:tr>
    </w:tbl>
    <w:p/>
    <w:p>
      <w:r>
        <w:t xml:space="preserve">Not mandatory to sign on day one, but </w:t>
      </w:r>
      <w:r>
        <w:rPr>
          <w:b/>
        </w:rPr>
        <w:t>production systems handling health data should not run without maintenance</w:t>
      </w:r>
      <w:r>
        <w:t>. Quote hosting separately if you host elsewhere.</w:t>
      </w:r>
    </w:p>
    <w:p/>
    <w:p>
      <w:pPr>
        <w:pStyle w:val="Heading2"/>
      </w:pPr>
      <w:r>
        <w:t>8. Alternative if budget is constrained (not full SRS)</w:t>
      </w:r>
    </w:p>
    <w:p>
      <w:r>
        <w:t xml:space="preserve">If </w:t>
      </w:r>
      <w:r>
        <w:rPr>
          <w:b/>
        </w:rPr>
        <w:t>5,400,000 RWF</w:t>
      </w:r>
      <w:r>
        <w:t xml:space="preserve"> is not feasible, do </w:t>
      </w:r>
      <w:r>
        <w:rPr>
          <w:b/>
        </w:rPr>
        <w:t>not</w:t>
      </w:r>
      <w:r>
        <w:t xml:space="preserve"> pretend the full SRS is included. Offer a </w:t>
      </w:r>
      <w:r>
        <w:rPr>
          <w:b/>
        </w:rPr>
        <w:t>written phase</w:t>
      </w:r>
      <w:r>
        <w:t xml:space="preserve"> instead: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Option</w:t>
            </w:r>
          </w:p>
        </w:tc>
        <w:tc>
          <w:tcPr>
            <w:tcW w:type="dxa" w:w="2340"/>
          </w:tcPr>
          <w:p>
            <w:r>
              <w:t>Scope (summary)</w:t>
            </w:r>
          </w:p>
        </w:tc>
        <w:tc>
          <w:tcPr>
            <w:tcW w:type="dxa" w:w="2340"/>
          </w:tcPr>
          <w:p>
            <w:r>
              <w:t>Price (RWF)</w:t>
            </w:r>
          </w:p>
        </w:tc>
        <w:tc>
          <w:tcPr>
            <w:tcW w:type="dxa" w:w="2340"/>
          </w:tcPr>
          <w:p>
            <w:r>
              <w:t>Duration</w:t>
            </w:r>
          </w:p>
        </w:tc>
      </w:tr>
      <w:tr>
        <w:tc>
          <w:tcPr>
            <w:tcW w:type="dxa" w:w="2340"/>
          </w:tcPr>
          <w:p>
            <w:r>
              <w:t>Phase 0</w:t>
            </w:r>
          </w:p>
        </w:tc>
        <w:tc>
          <w:tcPr>
            <w:tcW w:type="dxa" w:w="2340"/>
          </w:tcPr>
          <w:p>
            <w:r>
              <w:t>Professional site, OTC catalog (manual or simple stock), order request (form/WhatsApp handoff), legal pages</w:t>
            </w:r>
          </w:p>
        </w:tc>
        <w:tc>
          <w:tcPr>
            <w:tcW w:type="dxa" w:w="2340"/>
          </w:tcPr>
          <w:p>
            <w:r>
              <w:t>950,000</w:t>
            </w:r>
          </w:p>
        </w:tc>
        <w:tc>
          <w:tcPr>
            <w:tcW w:type="dxa" w:w="2340"/>
          </w:tcPr>
          <w:p>
            <w:r>
              <w:t>4 to 6 weeks</w:t>
            </w:r>
          </w:p>
        </w:tc>
      </w:tr>
      <w:tr>
        <w:tc>
          <w:tcPr>
            <w:tcW w:type="dxa" w:w="2340"/>
          </w:tcPr>
          <w:p>
            <w:r>
              <w:t>Phase 1</w:t>
            </w:r>
          </w:p>
        </w:tc>
        <w:tc>
          <w:tcPr>
            <w:tcW w:type="dxa" w:w="2340"/>
          </w:tcPr>
          <w:p>
            <w:r>
              <w:t>Phase 0 plus patient accounts, cart, MoMo or pay-at-pickup, staff order list (no full Rx engine)</w:t>
            </w:r>
          </w:p>
        </w:tc>
        <w:tc>
          <w:tcPr>
            <w:tcW w:type="dxa" w:w="2340"/>
          </w:tcPr>
          <w:p>
            <w:r>
              <w:t>2,450,000 cumulative</w:t>
            </w:r>
          </w:p>
        </w:tc>
        <w:tc>
          <w:tcPr>
            <w:tcW w:type="dxa" w:w="2340"/>
          </w:tcPr>
          <w:p>
            <w:r>
              <w:t>+8 to 10 weeks</w:t>
            </w:r>
          </w:p>
        </w:tc>
      </w:tr>
      <w:tr>
        <w:tc>
          <w:tcPr>
            <w:tcW w:type="dxa" w:w="2340"/>
          </w:tcPr>
          <w:p>
            <w:r>
              <w:t>Phase 2</w:t>
            </w:r>
          </w:p>
        </w:tc>
        <w:tc>
          <w:tcPr>
            <w:tcW w:type="dxa" w:w="2340"/>
          </w:tcPr>
          <w:p>
            <w:r>
              <w:t>Full Rx workflow and pharmacist console (SRS sections 8 to 9)</w:t>
            </w:r>
          </w:p>
        </w:tc>
        <w:tc>
          <w:tcPr>
            <w:tcW w:type="dxa" w:w="2340"/>
          </w:tcPr>
          <w:p>
            <w:r>
              <w:t>+1,850,000</w:t>
            </w:r>
          </w:p>
        </w:tc>
        <w:tc>
          <w:tcPr>
            <w:tcW w:type="dxa" w:w="2340"/>
          </w:tcPr>
          <w:p>
            <w:r>
              <w:t>+6 to 8 weeks</w:t>
            </w:r>
          </w:p>
        </w:tc>
      </w:tr>
      <w:tr>
        <w:tc>
          <w:tcPr>
            <w:tcW w:type="dxa" w:w="2340"/>
          </w:tcPr>
          <w:p>
            <w:r>
              <w:t>Phase 3</w:t>
            </w:r>
          </w:p>
        </w:tc>
        <w:tc>
          <w:tcPr>
            <w:tcW w:type="dxa" w:w="2340"/>
          </w:tcPr>
          <w:p>
            <w:r>
              <w:t>PMS integration plus insurance plus delivery plus reporting (remainder of SRS)</w:t>
            </w:r>
          </w:p>
        </w:tc>
        <w:tc>
          <w:tcPr>
            <w:tcW w:type="dxa" w:w="2340"/>
          </w:tcPr>
          <w:p>
            <w:r>
              <w:t>+1,100,000</w:t>
            </w:r>
          </w:p>
        </w:tc>
        <w:tc>
          <w:tcPr>
            <w:tcW w:type="dxa" w:w="2340"/>
          </w:tcPr>
          <w:p>
            <w:r>
              <w:t>+6 to 8 weeks</w:t>
            </w:r>
          </w:p>
        </w:tc>
      </w:tr>
    </w:tbl>
    <w:p/>
    <w:p>
      <w:r/>
      <w:r>
        <w:rPr>
          <w:b/>
        </w:rPr>
        <w:t>Phase 0 to 3 total</w:t>
      </w:r>
      <w:r>
        <w:t xml:space="preserve"> aligns with full SRS (~5,400,000) but lets her </w:t>
      </w:r>
      <w:r>
        <w:rPr>
          <w:b/>
        </w:rPr>
        <w:t>stop after any phase</w:t>
      </w:r>
      <w:r>
        <w:t xml:space="preserve"> with a working product.</w:t>
      </w:r>
    </w:p>
    <w:p>
      <w:r>
        <w:t xml:space="preserve">Her </w:t>
      </w:r>
      <w:r>
        <w:rPr>
          <w:b/>
        </w:rPr>
        <w:t>800,000 RWF</w:t>
      </w:r>
      <w:r>
        <w:t xml:space="preserve"> expectation matches </w:t>
      </w:r>
      <w:r>
        <w:rPr>
          <w:b/>
        </w:rPr>
        <w:t>roughly Phase 0 minus</w:t>
      </w:r>
      <w:r>
        <w:t xml:space="preserve"> (brochure plus catalog only, no proper checkout). You can counter with </w:t>
      </w:r>
      <w:r>
        <w:rPr>
          <w:b/>
        </w:rPr>
        <w:t>950,000 RWF for Phase 0</w:t>
      </w:r>
      <w:r>
        <w:t xml:space="preserve"> as the floor for something you can stand behind, or decline if she insists on “full platform” at that price.</w:t>
      </w:r>
    </w:p>
    <w:p/>
    <w:p>
      <w:pPr>
        <w:pStyle w:val="Heading2"/>
      </w:pPr>
      <w:r>
        <w:t>9. Realistic view for both sides</w:t>
      </w:r>
    </w:p>
    <w:p>
      <w:r/>
      <w:r>
        <w:rPr>
          <w:b/>
        </w:rPr>
        <w:t>For the pharmacy</w:t>
      </w:r>
      <w:r/>
    </w:p>
    <w:p>
      <w:pPr>
        <w:pStyle w:val="ListBullet"/>
      </w:pPr>
      <w:r>
        <w:t>They gain a sales channel that respects GDP/GPP and FDA online rules, tied to stock and receipts they already need for RRA and RSSB.</w:t>
      </w:r>
    </w:p>
    <w:p>
      <w:pPr>
        <w:pStyle w:val="ListBullet"/>
      </w:pPr>
      <w:r>
        <w:t>They must still fund PMS, authorization, and payment merchant costs.</w:t>
      </w:r>
    </w:p>
    <w:p>
      <w:pPr>
        <w:pStyle w:val="ListBullet"/>
      </w:pPr>
      <w:r>
        <w:t xml:space="preserve">They must assign a </w:t>
      </w:r>
      <w:r>
        <w:rPr>
          <w:b/>
        </w:rPr>
        <w:t>responsible pharmacist</w:t>
      </w:r>
      <w:r>
        <w:t xml:space="preserve"> for UAT and ongoing Rx decisions; software does not remove liability.</w:t>
      </w:r>
    </w:p>
    <w:p>
      <w:r/>
      <w:r>
        <w:rPr>
          <w:b/>
        </w:rPr>
        <w:t>For Salanor (you)</w:t>
      </w:r>
      <w:r/>
    </w:p>
    <w:p>
      <w:pPr>
        <w:pStyle w:val="ListBullet"/>
      </w:pPr>
      <w:r>
        <w:t xml:space="preserve">5.4M RWF over ~5 months is </w:t>
      </w:r>
      <w:r>
        <w:rPr>
          <w:b/>
        </w:rPr>
        <w:t>~1.08M per month</w:t>
      </w:r>
      <w:r>
        <w:t xml:space="preserve"> gross before tax, tools, and any subcontract (PMS specialist, designer). That is fair for one senior lead plus part-time help, not a large agency bench.</w:t>
      </w:r>
    </w:p>
    <w:p>
      <w:pPr>
        <w:pStyle w:val="ListBullet"/>
      </w:pPr>
      <w:r>
        <w:t xml:space="preserve">PMS integration risk is the main unknown: </w:t>
      </w:r>
      <w:r>
        <w:rPr>
          <w:b/>
        </w:rPr>
        <w:t>price assumes one cooperative integration</w:t>
      </w:r>
      <w:r>
        <w:t>; document that in the contract.</w:t>
      </w:r>
    </w:p>
    <w:p>
      <w:pPr>
        <w:pStyle w:val="ListBullet"/>
      </w:pPr>
      <w:r>
        <w:t>Do not start work without deposit; do not go-live without UAT sign-off and at least go-live milestone paid.</w:t>
      </w:r>
    </w:p>
    <w:p>
      <w:r/>
      <w:r>
        <w:rPr>
          <w:b/>
        </w:rPr>
        <w:t>Negotiation</w:t>
      </w:r>
      <w:r/>
    </w:p>
    <w:p>
      <w:pPr>
        <w:pStyle w:val="ListBullet"/>
      </w:pPr>
      <w:r>
        <w:t xml:space="preserve">You may reduce price </w:t>
      </w:r>
      <w:r>
        <w:rPr>
          <w:b/>
        </w:rPr>
        <w:t>only</w:t>
      </w:r>
      <w:r>
        <w:t xml:space="preserve"> by </w:t>
      </w:r>
      <w:r>
        <w:rPr>
          <w:b/>
        </w:rPr>
        <w:t>reducing scope</w:t>
      </w:r>
      <w:r>
        <w:t xml:space="preserve"> (phases, manual PMS sync, insurance deferred to Phase 3), not by keeping SRS and cutting price.</w:t>
      </w:r>
    </w:p>
    <w:p>
      <w:pPr>
        <w:pStyle w:val="ListBullet"/>
      </w:pPr>
      <w:r>
        <w:t xml:space="preserve">Installments after go-live are a </w:t>
      </w:r>
      <w:r>
        <w:rPr>
          <w:b/>
        </w:rPr>
        <w:t>sales tool</w:t>
      </w:r>
      <w:r>
        <w:t xml:space="preserve"> for a serious client with cash-flow timing issues, not for a client who cannot afford the project.</w:t>
      </w:r>
    </w:p>
    <w:p/>
    <w:p>
      <w:pPr>
        <w:pStyle w:val="Heading2"/>
      </w:pPr>
      <w:r>
        <w:t>10. Acceptance</w:t>
      </w:r>
    </w:p>
    <w:p>
      <w:r>
        <w:t>To proceed:</w:t>
      </w:r>
    </w:p>
    <w:p>
      <w:pPr>
        <w:pStyle w:val="ListNumber"/>
      </w:pPr>
      <w:r>
        <w:t>Confirm acceptance of SAL-PHARM-SRS-001 v2.0 as functional scope (or list written exceptions).</w:t>
      </w:r>
    </w:p>
    <w:p>
      <w:pPr>
        <w:pStyle w:val="ListNumber"/>
      </w:pPr>
      <w:r>
        <w:t>Complete workshop items in SRS section 24 within three weeks of signing.</w:t>
      </w:r>
    </w:p>
    <w:p>
      <w:pPr>
        <w:pStyle w:val="ListNumber"/>
      </w:pPr>
      <w:r>
        <w:t>Sign the service agreement [PHARMACY-ONLINE-PLATFORM-SOW.md](./PHARMACY-ONLINE-PLATFORM-SOW.md) (SAL-PHARM-SOW-001), which incorporates this quotation and the SRS.</w:t>
      </w:r>
    </w:p>
    <w:p>
      <w:pPr>
        <w:pStyle w:val="ListNumber"/>
      </w:pPr>
      <w:r>
        <w:t>Pay milestone 1.</w:t>
      </w:r>
    </w:p>
    <w:p>
      <w:r/>
      <w:r>
        <w:rPr>
          <w:b/>
        </w:rPr>
        <w:t>Client name:</w:t>
      </w:r>
      <w:r>
        <w:t xml:space="preserve"> _______________________________</w:t>
      </w:r>
    </w:p>
    <w:p>
      <w:r/>
      <w:r>
        <w:rPr>
          <w:b/>
        </w:rPr>
        <w:t>Signature / date:</w:t>
      </w:r>
      <w:r>
        <w:t xml:space="preserve"> _______________________________</w:t>
      </w:r>
    </w:p>
    <w:p>
      <w:r/>
      <w:r>
        <w:rPr>
          <w:b/>
        </w:rPr>
        <w:t>Salanor Ltd</w:t>
      </w:r>
      <w:r/>
    </w:p>
    <w:p>
      <w:r/>
      <w:r>
        <w:rPr>
          <w:b/>
        </w:rPr>
        <w:t>Authorized signatory:</w:t>
      </w:r>
      <w:r>
        <w:t xml:space="preserve"> _______________________________</w:t>
      </w:r>
    </w:p>
    <w:p>
      <w:r/>
      <w:r>
        <w:rPr>
          <w:b/>
        </w:rPr>
        <w:t>Date:</w:t>
      </w:r>
      <w:r>
        <w:t xml:space="preserve"> _______________________________</w:t>
      </w:r>
    </w:p>
    <w:p/>
    <w:p>
      <w:r>
        <w:t>*This quotation is an offer to contract. It is not legal or tax advice. VAT or withholding, if applicable, will be shown on invoices per Rwanda law.*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