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C12" w:rsidRPr="007D354B" w:rsidRDefault="00F26EC6" w:rsidP="00F26EC6">
      <w:pPr>
        <w:pStyle w:val="Heading1"/>
        <w:pBdr>
          <w:top w:val="single" w:sz="4" w:space="1" w:color="auto"/>
        </w:pBdr>
        <w:ind w:left="180"/>
        <w:rPr>
          <w:b/>
        </w:rPr>
      </w:pPr>
      <w:r w:rsidRPr="007D354B">
        <w:rPr>
          <w:b/>
        </w:rPr>
        <w:t>Analysis of Open Requests in the WPRDC’s 311 Dataset</w:t>
      </w:r>
    </w:p>
    <w:p w:rsidR="00F26EC6" w:rsidRDefault="00F26EC6" w:rsidP="00F26EC6">
      <w:pPr>
        <w:ind w:left="0" w:hanging="14"/>
      </w:pPr>
    </w:p>
    <w:p w:rsidR="00F26EC6" w:rsidRPr="007D354B" w:rsidRDefault="00F26EC6" w:rsidP="00F26EC6">
      <w:pPr>
        <w:pStyle w:val="Heading2"/>
        <w:ind w:left="180"/>
        <w:rPr>
          <w:rStyle w:val="IntenseEmphasis"/>
          <w:b/>
          <w:i w:val="0"/>
        </w:rPr>
      </w:pPr>
      <w:r w:rsidRPr="007D354B">
        <w:rPr>
          <w:rStyle w:val="IntenseEmphasis"/>
          <w:b/>
          <w:i w:val="0"/>
        </w:rPr>
        <w:t>Introduction</w:t>
      </w:r>
    </w:p>
    <w:p w:rsidR="00F26EC6" w:rsidRDefault="00F26EC6" w:rsidP="00F26EC6">
      <w:pPr>
        <w:ind w:left="720" w:firstLine="0"/>
      </w:pPr>
      <w:r>
        <w:t xml:space="preserve">The Western Pennsylvania Regional Data Center (WPRC) includes a variety of datasets, including one called the “311” dataset.  It is located at </w:t>
      </w:r>
      <w:hyperlink r:id="rId5" w:history="1">
        <w:r>
          <w:rPr>
            <w:rStyle w:val="Hyperlink"/>
          </w:rPr>
          <w:t>https://data.wprdc.org</w:t>
        </w:r>
      </w:hyperlink>
      <w:r w:rsidRPr="00F26EC6">
        <w:t xml:space="preserve">. </w:t>
      </w:r>
      <w:r>
        <w:t xml:space="preserve">This dataset includes information about service requests to the 311 </w:t>
      </w:r>
      <w:proofErr w:type="gramStart"/>
      <w:r>
        <w:t>hotline</w:t>
      </w:r>
      <w:proofErr w:type="gramEnd"/>
      <w:r>
        <w:t xml:space="preserve"> in the city of Pittsburgh.  Among other information, service requests are categorized by request type and status, which can be coded as “NEW”, “CLOSED”, or “OPEN”.  The goal of this project was to determine which types of requests </w:t>
      </w:r>
      <w:r w:rsidR="00197DFE">
        <w:t>tended to be left open, and for each of the most frequent types of requests, offer a possible explanation for why they might remain open.  Possibilities include:</w:t>
      </w:r>
    </w:p>
    <w:p w:rsidR="00197DFE" w:rsidRDefault="00197DFE" w:rsidP="00197DFE">
      <w:pPr>
        <w:pStyle w:val="ListParagraph"/>
        <w:numPr>
          <w:ilvl w:val="0"/>
          <w:numId w:val="1"/>
        </w:numPr>
      </w:pPr>
      <w:r>
        <w:t>High-volume type of request (so it takes longer to get to all of them)</w:t>
      </w:r>
    </w:p>
    <w:p w:rsidR="00197DFE" w:rsidRDefault="00197DFE" w:rsidP="00197DFE">
      <w:pPr>
        <w:pStyle w:val="ListParagraph"/>
        <w:numPr>
          <w:ilvl w:val="0"/>
          <w:numId w:val="1"/>
        </w:numPr>
      </w:pPr>
      <w:r>
        <w:t>Low-priority type of request</w:t>
      </w:r>
    </w:p>
    <w:p w:rsidR="00197DFE" w:rsidRDefault="00197DFE" w:rsidP="00197DFE">
      <w:pPr>
        <w:pStyle w:val="ListParagraph"/>
        <w:numPr>
          <w:ilvl w:val="0"/>
          <w:numId w:val="1"/>
        </w:numPr>
      </w:pPr>
      <w:r>
        <w:t>A resource-intensive type of request to resolve</w:t>
      </w:r>
    </w:p>
    <w:p w:rsidR="00197DFE" w:rsidRDefault="00197DFE" w:rsidP="00197DFE">
      <w:pPr>
        <w:pStyle w:val="ListParagraph"/>
        <w:numPr>
          <w:ilvl w:val="0"/>
          <w:numId w:val="1"/>
        </w:numPr>
      </w:pPr>
      <w:r>
        <w:t>A type of request that requires red-tape (e.g., court action) to resolve</w:t>
      </w:r>
    </w:p>
    <w:p w:rsidR="00197DFE" w:rsidRDefault="00197DFE" w:rsidP="00F26EC6">
      <w:pPr>
        <w:ind w:left="720" w:firstLine="0"/>
      </w:pPr>
      <w:r>
        <w:t xml:space="preserve">The analysis was performed with a combination of the 311.py, 311_2.py Python programs, and MS Excel (for charting purposes).  These programs are available in the “lan33-ccac” </w:t>
      </w:r>
      <w:proofErr w:type="spellStart"/>
      <w:r>
        <w:t>github</w:t>
      </w:r>
      <w:proofErr w:type="spellEnd"/>
      <w:r>
        <w:t xml:space="preserve"> repository.</w:t>
      </w:r>
    </w:p>
    <w:p w:rsidR="000D148A" w:rsidRDefault="000D148A">
      <w:pPr>
        <w:rPr>
          <w:rFonts w:asciiTheme="majorHAnsi" w:eastAsiaTheme="majorEastAsia" w:hAnsiTheme="majorHAnsi" w:cstheme="majorBidi"/>
          <w:color w:val="2F5496" w:themeColor="accent1" w:themeShade="BF"/>
          <w:sz w:val="26"/>
          <w:szCs w:val="26"/>
        </w:rPr>
      </w:pPr>
      <w:r>
        <w:br w:type="page"/>
      </w:r>
    </w:p>
    <w:p w:rsidR="00197DFE" w:rsidRPr="007D354B" w:rsidRDefault="00197DFE" w:rsidP="007D354B">
      <w:pPr>
        <w:pStyle w:val="Heading2"/>
        <w:spacing w:before="120" w:after="240"/>
        <w:ind w:left="0" w:hanging="14"/>
        <w:rPr>
          <w:b/>
        </w:rPr>
      </w:pPr>
      <w:r w:rsidRPr="007D354B">
        <w:rPr>
          <w:b/>
        </w:rPr>
        <w:lastRenderedPageBreak/>
        <w:t xml:space="preserve">Top </w:t>
      </w:r>
      <w:r w:rsidR="007D354B" w:rsidRPr="007D354B">
        <w:rPr>
          <w:b/>
        </w:rPr>
        <w:t>1</w:t>
      </w:r>
      <w:r w:rsidRPr="007D354B">
        <w:rPr>
          <w:b/>
        </w:rPr>
        <w:t>0 Service Requests</w:t>
      </w:r>
    </w:p>
    <w:p w:rsidR="00197DFE" w:rsidRDefault="007D354B" w:rsidP="00197DFE">
      <w:pPr>
        <w:ind w:left="720" w:hanging="14"/>
      </w:pPr>
      <w:r>
        <w:t xml:space="preserve">The total number of requests in the 311 </w:t>
      </w:r>
      <w:proofErr w:type="gramStart"/>
      <w:r>
        <w:t>dataset</w:t>
      </w:r>
      <w:proofErr w:type="gramEnd"/>
      <w:r>
        <w:t xml:space="preserve"> was: </w:t>
      </w:r>
      <w:r w:rsidRPr="007D354B">
        <w:rPr>
          <w:color w:val="C00000"/>
        </w:rPr>
        <w:t>367</w:t>
      </w:r>
      <w:r w:rsidRPr="007D354B">
        <w:rPr>
          <w:color w:val="C00000"/>
        </w:rPr>
        <w:t>,</w:t>
      </w:r>
      <w:r w:rsidRPr="007D354B">
        <w:rPr>
          <w:color w:val="C00000"/>
        </w:rPr>
        <w:t>061</w:t>
      </w:r>
      <w:r>
        <w:t xml:space="preserve">.  There were </w:t>
      </w:r>
      <w:r w:rsidRPr="007D354B">
        <w:rPr>
          <w:color w:val="C00000"/>
        </w:rPr>
        <w:t>312</w:t>
      </w:r>
      <w:r>
        <w:t xml:space="preserve"> different types of requests represented in this dataset.  </w:t>
      </w:r>
      <w:r w:rsidR="00197DFE">
        <w:t xml:space="preserve">The top </w:t>
      </w:r>
      <w:r>
        <w:t>1</w:t>
      </w:r>
      <w:r w:rsidR="00197DFE">
        <w:t xml:space="preserve">0 </w:t>
      </w:r>
      <w:r w:rsidR="00F13C87">
        <w:t xml:space="preserve">highest volume </w:t>
      </w:r>
      <w:r w:rsidR="00197DFE">
        <w:t>types of all service requests include</w:t>
      </w:r>
      <w:r>
        <w:t>d</w:t>
      </w:r>
      <w:r w:rsidR="00197DFE">
        <w:t>:</w:t>
      </w:r>
    </w:p>
    <w:tbl>
      <w:tblPr>
        <w:tblStyle w:val="TableGrid"/>
        <w:tblW w:w="0" w:type="auto"/>
        <w:tblInd w:w="715" w:type="dxa"/>
        <w:tblLook w:val="04A0" w:firstRow="1" w:lastRow="0" w:firstColumn="1" w:lastColumn="0" w:noHBand="0" w:noVBand="1"/>
      </w:tblPr>
      <w:tblGrid>
        <w:gridCol w:w="4140"/>
        <w:gridCol w:w="2070"/>
        <w:gridCol w:w="1530"/>
      </w:tblGrid>
      <w:tr w:rsidR="000D148A" w:rsidRPr="000D148A" w:rsidTr="007D354B">
        <w:trPr>
          <w:trHeight w:val="288"/>
        </w:trPr>
        <w:tc>
          <w:tcPr>
            <w:tcW w:w="4140" w:type="dxa"/>
            <w:noWrap/>
            <w:hideMark/>
          </w:tcPr>
          <w:p w:rsidR="000D148A" w:rsidRPr="000D148A" w:rsidRDefault="000D148A" w:rsidP="000D148A">
            <w:pPr>
              <w:ind w:left="72" w:hanging="14"/>
              <w:rPr>
                <w:b/>
                <w:bCs/>
              </w:rPr>
            </w:pPr>
            <w:r w:rsidRPr="000D148A">
              <w:rPr>
                <w:b/>
                <w:bCs/>
              </w:rPr>
              <w:t>Request Type</w:t>
            </w:r>
          </w:p>
        </w:tc>
        <w:tc>
          <w:tcPr>
            <w:tcW w:w="2070" w:type="dxa"/>
            <w:noWrap/>
            <w:hideMark/>
          </w:tcPr>
          <w:p w:rsidR="000D148A" w:rsidRPr="000D148A" w:rsidRDefault="000D148A" w:rsidP="000D148A">
            <w:pPr>
              <w:ind w:left="0" w:hanging="14"/>
              <w:jc w:val="right"/>
              <w:rPr>
                <w:b/>
                <w:bCs/>
              </w:rPr>
            </w:pPr>
            <w:r w:rsidRPr="000D148A">
              <w:rPr>
                <w:b/>
                <w:bCs/>
              </w:rPr>
              <w:t>Request Count</w:t>
            </w:r>
          </w:p>
        </w:tc>
        <w:tc>
          <w:tcPr>
            <w:tcW w:w="1530" w:type="dxa"/>
            <w:noWrap/>
            <w:hideMark/>
          </w:tcPr>
          <w:p w:rsidR="000D148A" w:rsidRPr="000D148A" w:rsidRDefault="000D148A" w:rsidP="000D148A">
            <w:pPr>
              <w:ind w:left="66" w:hanging="14"/>
              <w:jc w:val="right"/>
              <w:rPr>
                <w:b/>
                <w:bCs/>
              </w:rPr>
            </w:pPr>
            <w:r w:rsidRPr="000D148A">
              <w:rPr>
                <w:b/>
                <w:bCs/>
              </w:rPr>
              <w:t xml:space="preserve">% Total </w:t>
            </w:r>
            <w:proofErr w:type="spellStart"/>
            <w:r w:rsidRPr="000D148A">
              <w:rPr>
                <w:b/>
                <w:bCs/>
              </w:rPr>
              <w:t>Reqs</w:t>
            </w:r>
            <w:proofErr w:type="spellEnd"/>
          </w:p>
        </w:tc>
      </w:tr>
      <w:tr w:rsidR="000D148A" w:rsidRPr="000D148A" w:rsidTr="007D354B">
        <w:trPr>
          <w:trHeight w:val="288"/>
        </w:trPr>
        <w:tc>
          <w:tcPr>
            <w:tcW w:w="4140" w:type="dxa"/>
            <w:noWrap/>
            <w:hideMark/>
          </w:tcPr>
          <w:p w:rsidR="000D148A" w:rsidRPr="000D148A" w:rsidRDefault="000D148A" w:rsidP="000D148A">
            <w:pPr>
              <w:ind w:left="72" w:hanging="14"/>
            </w:pPr>
            <w:r w:rsidRPr="000D148A">
              <w:t>Potholes</w:t>
            </w:r>
          </w:p>
        </w:tc>
        <w:tc>
          <w:tcPr>
            <w:tcW w:w="2070" w:type="dxa"/>
            <w:noWrap/>
            <w:hideMark/>
          </w:tcPr>
          <w:p w:rsidR="000D148A" w:rsidRPr="000D148A" w:rsidRDefault="000D148A" w:rsidP="000D148A">
            <w:pPr>
              <w:ind w:left="0" w:hanging="14"/>
              <w:jc w:val="right"/>
            </w:pPr>
            <w:r w:rsidRPr="000D148A">
              <w:t>51</w:t>
            </w:r>
            <w:r>
              <w:t>,</w:t>
            </w:r>
            <w:r w:rsidRPr="000D148A">
              <w:t>428</w:t>
            </w:r>
          </w:p>
        </w:tc>
        <w:tc>
          <w:tcPr>
            <w:tcW w:w="1530" w:type="dxa"/>
            <w:noWrap/>
            <w:hideMark/>
          </w:tcPr>
          <w:p w:rsidR="000D148A" w:rsidRPr="000D148A" w:rsidRDefault="000D148A" w:rsidP="000D148A">
            <w:pPr>
              <w:ind w:left="66" w:hanging="14"/>
              <w:jc w:val="right"/>
            </w:pPr>
            <w:r w:rsidRPr="000D148A">
              <w:t>14.01</w:t>
            </w:r>
          </w:p>
        </w:tc>
      </w:tr>
      <w:tr w:rsidR="000D148A" w:rsidRPr="000D148A" w:rsidTr="007D354B">
        <w:trPr>
          <w:trHeight w:val="288"/>
        </w:trPr>
        <w:tc>
          <w:tcPr>
            <w:tcW w:w="4140" w:type="dxa"/>
            <w:noWrap/>
            <w:hideMark/>
          </w:tcPr>
          <w:p w:rsidR="000D148A" w:rsidRPr="000D148A" w:rsidRDefault="000D148A" w:rsidP="000D148A">
            <w:pPr>
              <w:ind w:left="72" w:hanging="14"/>
            </w:pPr>
            <w:r w:rsidRPr="000D148A">
              <w:t>Weeds/Debris</w:t>
            </w:r>
          </w:p>
        </w:tc>
        <w:tc>
          <w:tcPr>
            <w:tcW w:w="2070" w:type="dxa"/>
            <w:noWrap/>
            <w:hideMark/>
          </w:tcPr>
          <w:p w:rsidR="000D148A" w:rsidRPr="000D148A" w:rsidRDefault="000D148A" w:rsidP="000D148A">
            <w:pPr>
              <w:ind w:left="0" w:hanging="14"/>
              <w:jc w:val="right"/>
            </w:pPr>
            <w:r w:rsidRPr="000D148A">
              <w:t>33</w:t>
            </w:r>
            <w:r>
              <w:t>,</w:t>
            </w:r>
            <w:r w:rsidRPr="000D148A">
              <w:t>680</w:t>
            </w:r>
          </w:p>
        </w:tc>
        <w:tc>
          <w:tcPr>
            <w:tcW w:w="1530" w:type="dxa"/>
            <w:noWrap/>
            <w:hideMark/>
          </w:tcPr>
          <w:p w:rsidR="000D148A" w:rsidRPr="000D148A" w:rsidRDefault="000D148A" w:rsidP="000D148A">
            <w:pPr>
              <w:ind w:left="66" w:hanging="14"/>
              <w:jc w:val="right"/>
            </w:pPr>
            <w:r w:rsidRPr="000D148A">
              <w:t>9.18</w:t>
            </w:r>
          </w:p>
        </w:tc>
      </w:tr>
      <w:tr w:rsidR="000D148A" w:rsidRPr="000D148A" w:rsidTr="007D354B">
        <w:trPr>
          <w:trHeight w:val="288"/>
        </w:trPr>
        <w:tc>
          <w:tcPr>
            <w:tcW w:w="4140" w:type="dxa"/>
            <w:noWrap/>
            <w:hideMark/>
          </w:tcPr>
          <w:p w:rsidR="000D148A" w:rsidRPr="000D148A" w:rsidRDefault="000D148A" w:rsidP="000D148A">
            <w:pPr>
              <w:ind w:left="72" w:hanging="14"/>
            </w:pPr>
            <w:r w:rsidRPr="000D148A">
              <w:t>Building Maintenance</w:t>
            </w:r>
          </w:p>
        </w:tc>
        <w:tc>
          <w:tcPr>
            <w:tcW w:w="2070" w:type="dxa"/>
            <w:noWrap/>
            <w:hideMark/>
          </w:tcPr>
          <w:p w:rsidR="000D148A" w:rsidRPr="000D148A" w:rsidRDefault="000D148A" w:rsidP="000D148A">
            <w:pPr>
              <w:ind w:left="0" w:hanging="14"/>
              <w:jc w:val="right"/>
            </w:pPr>
            <w:r w:rsidRPr="000D148A">
              <w:t>17</w:t>
            </w:r>
            <w:r>
              <w:t>,</w:t>
            </w:r>
            <w:r w:rsidRPr="000D148A">
              <w:t>462</w:t>
            </w:r>
          </w:p>
        </w:tc>
        <w:tc>
          <w:tcPr>
            <w:tcW w:w="1530" w:type="dxa"/>
            <w:noWrap/>
            <w:hideMark/>
          </w:tcPr>
          <w:p w:rsidR="000D148A" w:rsidRPr="000D148A" w:rsidRDefault="000D148A" w:rsidP="000D148A">
            <w:pPr>
              <w:ind w:left="66" w:hanging="14"/>
              <w:jc w:val="right"/>
            </w:pPr>
            <w:r w:rsidRPr="000D148A">
              <w:t>4.76</w:t>
            </w:r>
          </w:p>
        </w:tc>
      </w:tr>
      <w:tr w:rsidR="000D148A" w:rsidRPr="000D148A" w:rsidTr="007D354B">
        <w:trPr>
          <w:trHeight w:val="288"/>
        </w:trPr>
        <w:tc>
          <w:tcPr>
            <w:tcW w:w="4140" w:type="dxa"/>
            <w:noWrap/>
            <w:hideMark/>
          </w:tcPr>
          <w:p w:rsidR="000D148A" w:rsidRPr="000D148A" w:rsidRDefault="000D148A" w:rsidP="000D148A">
            <w:pPr>
              <w:ind w:left="72" w:hanging="14"/>
            </w:pPr>
            <w:r w:rsidRPr="000D148A">
              <w:t>Snow/Ice removal</w:t>
            </w:r>
          </w:p>
        </w:tc>
        <w:tc>
          <w:tcPr>
            <w:tcW w:w="2070" w:type="dxa"/>
            <w:noWrap/>
            <w:hideMark/>
          </w:tcPr>
          <w:p w:rsidR="000D148A" w:rsidRPr="000D148A" w:rsidRDefault="000D148A" w:rsidP="000D148A">
            <w:pPr>
              <w:ind w:left="0" w:hanging="14"/>
              <w:jc w:val="right"/>
            </w:pPr>
            <w:r w:rsidRPr="000D148A">
              <w:t>12</w:t>
            </w:r>
            <w:r>
              <w:t>,</w:t>
            </w:r>
            <w:r w:rsidRPr="000D148A">
              <w:t>488</w:t>
            </w:r>
          </w:p>
        </w:tc>
        <w:tc>
          <w:tcPr>
            <w:tcW w:w="1530" w:type="dxa"/>
            <w:noWrap/>
            <w:hideMark/>
          </w:tcPr>
          <w:p w:rsidR="000D148A" w:rsidRPr="000D148A" w:rsidRDefault="000D148A" w:rsidP="000D148A">
            <w:pPr>
              <w:ind w:left="66" w:hanging="14"/>
              <w:jc w:val="right"/>
            </w:pPr>
            <w:r w:rsidRPr="000D148A">
              <w:t>3.40</w:t>
            </w:r>
          </w:p>
        </w:tc>
      </w:tr>
      <w:tr w:rsidR="000D148A" w:rsidRPr="000D148A" w:rsidTr="007D354B">
        <w:trPr>
          <w:trHeight w:val="288"/>
        </w:trPr>
        <w:tc>
          <w:tcPr>
            <w:tcW w:w="4140" w:type="dxa"/>
            <w:noWrap/>
            <w:hideMark/>
          </w:tcPr>
          <w:p w:rsidR="000D148A" w:rsidRPr="000D148A" w:rsidRDefault="000D148A" w:rsidP="000D148A">
            <w:pPr>
              <w:ind w:left="72" w:hanging="14"/>
            </w:pPr>
            <w:r w:rsidRPr="000D148A">
              <w:t>Abandoned Vehicle (parked on street)</w:t>
            </w:r>
          </w:p>
        </w:tc>
        <w:tc>
          <w:tcPr>
            <w:tcW w:w="2070" w:type="dxa"/>
            <w:noWrap/>
            <w:hideMark/>
          </w:tcPr>
          <w:p w:rsidR="000D148A" w:rsidRPr="000D148A" w:rsidRDefault="000D148A" w:rsidP="000D148A">
            <w:pPr>
              <w:ind w:left="0" w:hanging="14"/>
              <w:jc w:val="right"/>
            </w:pPr>
            <w:r w:rsidRPr="000D148A">
              <w:t>10</w:t>
            </w:r>
            <w:r>
              <w:t>,</w:t>
            </w:r>
            <w:r w:rsidRPr="000D148A">
              <w:t>326</w:t>
            </w:r>
          </w:p>
        </w:tc>
        <w:tc>
          <w:tcPr>
            <w:tcW w:w="1530" w:type="dxa"/>
            <w:noWrap/>
            <w:hideMark/>
          </w:tcPr>
          <w:p w:rsidR="000D148A" w:rsidRPr="000D148A" w:rsidRDefault="000D148A" w:rsidP="000D148A">
            <w:pPr>
              <w:ind w:left="66" w:hanging="14"/>
              <w:jc w:val="right"/>
            </w:pPr>
            <w:r w:rsidRPr="000D148A">
              <w:t>2.81</w:t>
            </w:r>
          </w:p>
        </w:tc>
      </w:tr>
      <w:tr w:rsidR="000D148A" w:rsidRPr="000D148A" w:rsidTr="007D354B">
        <w:trPr>
          <w:trHeight w:val="288"/>
        </w:trPr>
        <w:tc>
          <w:tcPr>
            <w:tcW w:w="4140" w:type="dxa"/>
            <w:noWrap/>
            <w:hideMark/>
          </w:tcPr>
          <w:p w:rsidR="000D148A" w:rsidRPr="000D148A" w:rsidRDefault="000D148A" w:rsidP="000D148A">
            <w:pPr>
              <w:ind w:left="72" w:hanging="14"/>
            </w:pPr>
            <w:r w:rsidRPr="000D148A">
              <w:t>Refuse Violations</w:t>
            </w:r>
          </w:p>
        </w:tc>
        <w:tc>
          <w:tcPr>
            <w:tcW w:w="2070" w:type="dxa"/>
            <w:noWrap/>
            <w:hideMark/>
          </w:tcPr>
          <w:p w:rsidR="000D148A" w:rsidRPr="000D148A" w:rsidRDefault="000D148A" w:rsidP="000D148A">
            <w:pPr>
              <w:ind w:left="0" w:hanging="14"/>
              <w:jc w:val="right"/>
            </w:pPr>
            <w:r w:rsidRPr="000D148A">
              <w:t>10</w:t>
            </w:r>
            <w:r>
              <w:t>,</w:t>
            </w:r>
            <w:r w:rsidRPr="000D148A">
              <w:t>015</w:t>
            </w:r>
          </w:p>
        </w:tc>
        <w:tc>
          <w:tcPr>
            <w:tcW w:w="1530" w:type="dxa"/>
            <w:noWrap/>
            <w:hideMark/>
          </w:tcPr>
          <w:p w:rsidR="000D148A" w:rsidRPr="000D148A" w:rsidRDefault="000D148A" w:rsidP="000D148A">
            <w:pPr>
              <w:ind w:left="66" w:hanging="14"/>
              <w:jc w:val="right"/>
            </w:pPr>
            <w:r w:rsidRPr="000D148A">
              <w:t>2.73</w:t>
            </w:r>
          </w:p>
        </w:tc>
      </w:tr>
      <w:tr w:rsidR="000D148A" w:rsidRPr="000D148A" w:rsidTr="007D354B">
        <w:trPr>
          <w:trHeight w:val="288"/>
        </w:trPr>
        <w:tc>
          <w:tcPr>
            <w:tcW w:w="4140" w:type="dxa"/>
            <w:noWrap/>
            <w:hideMark/>
          </w:tcPr>
          <w:p w:rsidR="000D148A" w:rsidRPr="000D148A" w:rsidRDefault="000D148A" w:rsidP="000D148A">
            <w:pPr>
              <w:ind w:left="72" w:hanging="14"/>
            </w:pPr>
            <w:r w:rsidRPr="000D148A">
              <w:t>Missed Pick Up</w:t>
            </w:r>
          </w:p>
        </w:tc>
        <w:tc>
          <w:tcPr>
            <w:tcW w:w="2070" w:type="dxa"/>
            <w:noWrap/>
            <w:hideMark/>
          </w:tcPr>
          <w:p w:rsidR="000D148A" w:rsidRPr="000D148A" w:rsidRDefault="000D148A" w:rsidP="000D148A">
            <w:pPr>
              <w:ind w:left="0" w:hanging="14"/>
              <w:jc w:val="right"/>
            </w:pPr>
            <w:r w:rsidRPr="000D148A">
              <w:t>8</w:t>
            </w:r>
            <w:r>
              <w:t>,</w:t>
            </w:r>
            <w:r w:rsidRPr="000D148A">
              <w:t>420</w:t>
            </w:r>
          </w:p>
        </w:tc>
        <w:tc>
          <w:tcPr>
            <w:tcW w:w="1530" w:type="dxa"/>
            <w:noWrap/>
            <w:hideMark/>
          </w:tcPr>
          <w:p w:rsidR="000D148A" w:rsidRPr="000D148A" w:rsidRDefault="000D148A" w:rsidP="000D148A">
            <w:pPr>
              <w:ind w:left="66" w:hanging="14"/>
              <w:jc w:val="right"/>
            </w:pPr>
            <w:r w:rsidRPr="000D148A">
              <w:t>2.29</w:t>
            </w:r>
          </w:p>
        </w:tc>
      </w:tr>
      <w:tr w:rsidR="000D148A" w:rsidRPr="000D148A" w:rsidTr="007D354B">
        <w:trPr>
          <w:trHeight w:val="288"/>
        </w:trPr>
        <w:tc>
          <w:tcPr>
            <w:tcW w:w="4140" w:type="dxa"/>
            <w:noWrap/>
            <w:hideMark/>
          </w:tcPr>
          <w:p w:rsidR="000D148A" w:rsidRPr="000D148A" w:rsidRDefault="000D148A" w:rsidP="000D148A">
            <w:pPr>
              <w:ind w:left="72" w:hanging="14"/>
            </w:pPr>
            <w:r w:rsidRPr="000D148A">
              <w:t>Litter</w:t>
            </w:r>
          </w:p>
        </w:tc>
        <w:tc>
          <w:tcPr>
            <w:tcW w:w="2070" w:type="dxa"/>
            <w:noWrap/>
            <w:hideMark/>
          </w:tcPr>
          <w:p w:rsidR="000D148A" w:rsidRPr="000D148A" w:rsidRDefault="000D148A" w:rsidP="000D148A">
            <w:pPr>
              <w:ind w:left="0" w:hanging="14"/>
              <w:jc w:val="right"/>
            </w:pPr>
            <w:r w:rsidRPr="000D148A">
              <w:t>7</w:t>
            </w:r>
            <w:r>
              <w:t>,</w:t>
            </w:r>
            <w:r w:rsidRPr="000D148A">
              <w:t>827</w:t>
            </w:r>
          </w:p>
        </w:tc>
        <w:tc>
          <w:tcPr>
            <w:tcW w:w="1530" w:type="dxa"/>
            <w:noWrap/>
            <w:hideMark/>
          </w:tcPr>
          <w:p w:rsidR="000D148A" w:rsidRPr="000D148A" w:rsidRDefault="000D148A" w:rsidP="000D148A">
            <w:pPr>
              <w:ind w:left="66" w:hanging="14"/>
              <w:jc w:val="right"/>
            </w:pPr>
            <w:r w:rsidRPr="000D148A">
              <w:t>2.13</w:t>
            </w:r>
          </w:p>
        </w:tc>
      </w:tr>
      <w:tr w:rsidR="000D148A" w:rsidRPr="000D148A" w:rsidTr="007D354B">
        <w:trPr>
          <w:trHeight w:val="288"/>
        </w:trPr>
        <w:tc>
          <w:tcPr>
            <w:tcW w:w="4140" w:type="dxa"/>
            <w:noWrap/>
            <w:hideMark/>
          </w:tcPr>
          <w:p w:rsidR="000D148A" w:rsidRPr="000D148A" w:rsidRDefault="000D148A" w:rsidP="000D148A">
            <w:pPr>
              <w:ind w:left="72" w:hanging="14"/>
            </w:pPr>
            <w:r w:rsidRPr="000D148A">
              <w:t>Illegal Parking</w:t>
            </w:r>
          </w:p>
        </w:tc>
        <w:tc>
          <w:tcPr>
            <w:tcW w:w="2070" w:type="dxa"/>
            <w:noWrap/>
            <w:hideMark/>
          </w:tcPr>
          <w:p w:rsidR="000D148A" w:rsidRPr="000D148A" w:rsidRDefault="000D148A" w:rsidP="000D148A">
            <w:pPr>
              <w:ind w:left="0" w:hanging="14"/>
              <w:jc w:val="right"/>
            </w:pPr>
            <w:r w:rsidRPr="000D148A">
              <w:t>7</w:t>
            </w:r>
            <w:r>
              <w:t>,</w:t>
            </w:r>
            <w:r w:rsidRPr="000D148A">
              <w:t>248</w:t>
            </w:r>
          </w:p>
        </w:tc>
        <w:tc>
          <w:tcPr>
            <w:tcW w:w="1530" w:type="dxa"/>
            <w:noWrap/>
            <w:hideMark/>
          </w:tcPr>
          <w:p w:rsidR="000D148A" w:rsidRPr="000D148A" w:rsidRDefault="000D148A" w:rsidP="000D148A">
            <w:pPr>
              <w:ind w:left="66" w:hanging="14"/>
              <w:jc w:val="right"/>
            </w:pPr>
            <w:r w:rsidRPr="000D148A">
              <w:t>1.97</w:t>
            </w:r>
          </w:p>
        </w:tc>
      </w:tr>
      <w:tr w:rsidR="000D148A" w:rsidRPr="000D148A" w:rsidTr="007D354B">
        <w:trPr>
          <w:trHeight w:val="288"/>
        </w:trPr>
        <w:tc>
          <w:tcPr>
            <w:tcW w:w="4140" w:type="dxa"/>
            <w:noWrap/>
            <w:hideMark/>
          </w:tcPr>
          <w:p w:rsidR="000D148A" w:rsidRPr="000D148A" w:rsidRDefault="000D148A" w:rsidP="000D148A">
            <w:pPr>
              <w:ind w:left="72" w:hanging="14"/>
            </w:pPr>
            <w:r w:rsidRPr="000D148A">
              <w:t>Replace/Repair a Sign</w:t>
            </w:r>
          </w:p>
        </w:tc>
        <w:tc>
          <w:tcPr>
            <w:tcW w:w="2070" w:type="dxa"/>
            <w:noWrap/>
            <w:hideMark/>
          </w:tcPr>
          <w:p w:rsidR="000D148A" w:rsidRPr="000D148A" w:rsidRDefault="000D148A" w:rsidP="000D148A">
            <w:pPr>
              <w:ind w:left="0" w:hanging="14"/>
              <w:jc w:val="right"/>
            </w:pPr>
            <w:r w:rsidRPr="000D148A">
              <w:t>7</w:t>
            </w:r>
            <w:r>
              <w:t>,</w:t>
            </w:r>
            <w:r w:rsidRPr="000D148A">
              <w:t>035</w:t>
            </w:r>
          </w:p>
        </w:tc>
        <w:tc>
          <w:tcPr>
            <w:tcW w:w="1530" w:type="dxa"/>
            <w:noWrap/>
            <w:hideMark/>
          </w:tcPr>
          <w:p w:rsidR="000D148A" w:rsidRPr="000D148A" w:rsidRDefault="000D148A" w:rsidP="000D148A">
            <w:pPr>
              <w:ind w:left="66" w:hanging="14"/>
              <w:jc w:val="right"/>
            </w:pPr>
            <w:r w:rsidRPr="000D148A">
              <w:t>1.92</w:t>
            </w:r>
          </w:p>
        </w:tc>
      </w:tr>
    </w:tbl>
    <w:p w:rsidR="007D354B" w:rsidRDefault="007D354B" w:rsidP="00197DFE">
      <w:pPr>
        <w:ind w:left="720" w:hanging="14"/>
      </w:pPr>
    </w:p>
    <w:p w:rsidR="00387F99" w:rsidRDefault="007D354B" w:rsidP="00387F99">
      <w:pPr>
        <w:ind w:left="720" w:hanging="14"/>
      </w:pPr>
      <w:r>
        <w:rPr>
          <w:noProof/>
        </w:rPr>
        <w:drawing>
          <wp:inline distT="0" distB="0" distL="0" distR="0" wp14:anchorId="7ED11D39" wp14:editId="375B1A34">
            <wp:extent cx="4975860" cy="3070860"/>
            <wp:effectExtent l="0" t="0" r="15240" b="15240"/>
            <wp:docPr id="1" name="Chart 1">
              <a:extLst xmlns:a="http://schemas.openxmlformats.org/drawingml/2006/main">
                <a:ext uri="{FF2B5EF4-FFF2-40B4-BE49-F238E27FC236}">
                  <a16:creationId xmlns:a16="http://schemas.microsoft.com/office/drawing/2014/main" id="{99374C75-BF30-4873-9728-228EE6C9A9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r w:rsidR="000D148A">
        <w:fldChar w:fldCharType="begin"/>
      </w:r>
      <w:r w:rsidR="000D148A">
        <w:instrText xml:space="preserve"> LINK Excel.Sheet.12 "C:\\Users\\lnydi\\Documents\\DAT-129_Play_Code\\Week_3_Exercises\\311_charts.xlsx" "Top_20_Open_Requests!R1C1:R21C3" \a \f 5 \h  \* MERGEFORMAT </w:instrText>
      </w:r>
      <w:r w:rsidR="00387F99">
        <w:fldChar w:fldCharType="separate"/>
      </w:r>
    </w:p>
    <w:p w:rsidR="00387F99" w:rsidRDefault="000D148A" w:rsidP="007D354B">
      <w:pPr>
        <w:ind w:left="0" w:hanging="14"/>
      </w:pPr>
      <w:r>
        <w:fldChar w:fldCharType="end"/>
      </w:r>
    </w:p>
    <w:p w:rsidR="00387F99" w:rsidRDefault="00387F99" w:rsidP="00387F99">
      <w:r>
        <w:br w:type="page"/>
      </w:r>
    </w:p>
    <w:p w:rsidR="00387F99" w:rsidRPr="007D354B" w:rsidRDefault="00387F99" w:rsidP="00387F99">
      <w:pPr>
        <w:pStyle w:val="Heading2"/>
        <w:spacing w:before="120" w:after="240"/>
        <w:ind w:left="0" w:hanging="14"/>
        <w:rPr>
          <w:b/>
        </w:rPr>
      </w:pPr>
      <w:r w:rsidRPr="007D354B">
        <w:rPr>
          <w:b/>
        </w:rPr>
        <w:t xml:space="preserve">Top </w:t>
      </w:r>
      <w:r>
        <w:rPr>
          <w:b/>
        </w:rPr>
        <w:t>20</w:t>
      </w:r>
      <w:r w:rsidRPr="007D354B">
        <w:rPr>
          <w:b/>
        </w:rPr>
        <w:t xml:space="preserve"> </w:t>
      </w:r>
      <w:r>
        <w:rPr>
          <w:b/>
        </w:rPr>
        <w:t xml:space="preserve">Open </w:t>
      </w:r>
      <w:r w:rsidRPr="007D354B">
        <w:rPr>
          <w:b/>
        </w:rPr>
        <w:t>Requests</w:t>
      </w:r>
    </w:p>
    <w:p w:rsidR="00387F99" w:rsidRDefault="00387F99" w:rsidP="00387F99">
      <w:pPr>
        <w:ind w:left="720" w:firstLine="0"/>
        <w:rPr>
          <w:rFonts w:ascii="Calibri" w:eastAsia="Times New Roman" w:hAnsi="Calibri" w:cs="Calibri"/>
          <w:color w:val="000000"/>
        </w:rPr>
      </w:pPr>
      <w:r>
        <w:t>The total number of requests</w:t>
      </w:r>
      <w:r>
        <w:t xml:space="preserve"> in an “Open” status was: </w:t>
      </w:r>
      <w:r w:rsidRPr="00387F99">
        <w:rPr>
          <w:rFonts w:ascii="Calibri" w:eastAsia="Times New Roman" w:hAnsi="Calibri" w:cs="Calibri"/>
          <w:color w:val="C00000"/>
        </w:rPr>
        <w:t>41,739</w:t>
      </w:r>
      <w:r>
        <w:rPr>
          <w:rFonts w:ascii="Calibri" w:eastAsia="Times New Roman" w:hAnsi="Calibri" w:cs="Calibri"/>
          <w:color w:val="000000"/>
        </w:rPr>
        <w:t xml:space="preserve">.  This represents </w:t>
      </w:r>
      <w:r w:rsidRPr="00387F99">
        <w:rPr>
          <w:rFonts w:ascii="Calibri" w:eastAsia="Times New Roman" w:hAnsi="Calibri" w:cs="Calibri"/>
          <w:color w:val="C00000"/>
        </w:rPr>
        <w:t>11.37%</w:t>
      </w:r>
      <w:r>
        <w:rPr>
          <w:rFonts w:ascii="Calibri" w:eastAsia="Times New Roman" w:hAnsi="Calibri" w:cs="Calibri"/>
          <w:color w:val="000000"/>
        </w:rPr>
        <w:t xml:space="preserve"> of all requests, which indicates that the city is able close most requests in a reasonable time frame.  Of the requests remaining in an open status, these are the service types with the highest numbers of open requests:</w:t>
      </w:r>
    </w:p>
    <w:tbl>
      <w:tblPr>
        <w:tblStyle w:val="TableGrid"/>
        <w:tblW w:w="0" w:type="auto"/>
        <w:tblLook w:val="04A0" w:firstRow="1" w:lastRow="0" w:firstColumn="1" w:lastColumn="0" w:noHBand="0" w:noVBand="1"/>
      </w:tblPr>
      <w:tblGrid>
        <w:gridCol w:w="3685"/>
        <w:gridCol w:w="1467"/>
        <w:gridCol w:w="1780"/>
        <w:gridCol w:w="1403"/>
      </w:tblGrid>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b/>
                <w:bCs/>
                <w:color w:val="000000"/>
              </w:rPr>
            </w:pPr>
            <w:r w:rsidRPr="00387F99">
              <w:rPr>
                <w:rFonts w:ascii="Calibri" w:eastAsia="Times New Roman" w:hAnsi="Calibri" w:cs="Calibri"/>
                <w:b/>
                <w:bCs/>
                <w:color w:val="000000"/>
              </w:rPr>
              <w:t>Request Type</w:t>
            </w:r>
          </w:p>
        </w:tc>
        <w:tc>
          <w:tcPr>
            <w:tcW w:w="1467" w:type="dxa"/>
            <w:noWrap/>
            <w:hideMark/>
          </w:tcPr>
          <w:p w:rsidR="00387F99" w:rsidRPr="00387F99" w:rsidRDefault="00387F99" w:rsidP="00B73241">
            <w:pPr>
              <w:ind w:left="0" w:firstLine="0"/>
              <w:jc w:val="right"/>
              <w:rPr>
                <w:rFonts w:ascii="Calibri" w:eastAsia="Times New Roman" w:hAnsi="Calibri" w:cs="Calibri"/>
                <w:b/>
                <w:bCs/>
                <w:color w:val="000000"/>
              </w:rPr>
            </w:pPr>
            <w:r w:rsidRPr="00387F99">
              <w:rPr>
                <w:rFonts w:ascii="Calibri" w:eastAsia="Times New Roman" w:hAnsi="Calibri" w:cs="Calibri"/>
                <w:b/>
                <w:bCs/>
                <w:color w:val="000000"/>
              </w:rPr>
              <w:t>Open Req Count</w:t>
            </w:r>
          </w:p>
        </w:tc>
        <w:tc>
          <w:tcPr>
            <w:tcW w:w="1780" w:type="dxa"/>
            <w:noWrap/>
            <w:hideMark/>
          </w:tcPr>
          <w:p w:rsidR="00387F99" w:rsidRPr="00387F99" w:rsidRDefault="00387F99" w:rsidP="00B73241">
            <w:pPr>
              <w:ind w:left="42" w:firstLine="0"/>
              <w:jc w:val="right"/>
              <w:rPr>
                <w:rFonts w:ascii="Calibri" w:eastAsia="Times New Roman" w:hAnsi="Calibri" w:cs="Calibri"/>
                <w:b/>
                <w:bCs/>
                <w:color w:val="000000"/>
              </w:rPr>
            </w:pPr>
            <w:r w:rsidRPr="00387F99">
              <w:rPr>
                <w:rFonts w:ascii="Calibri" w:eastAsia="Times New Roman" w:hAnsi="Calibri" w:cs="Calibri"/>
                <w:b/>
                <w:bCs/>
                <w:color w:val="000000"/>
              </w:rPr>
              <w:t xml:space="preserve">% Total Open </w:t>
            </w:r>
            <w:proofErr w:type="spellStart"/>
            <w:r w:rsidRPr="00387F99">
              <w:rPr>
                <w:rFonts w:ascii="Calibri" w:eastAsia="Times New Roman" w:hAnsi="Calibri" w:cs="Calibri"/>
                <w:b/>
                <w:bCs/>
                <w:color w:val="000000"/>
              </w:rPr>
              <w:t>Reqs</w:t>
            </w:r>
            <w:proofErr w:type="spellEnd"/>
          </w:p>
        </w:tc>
        <w:tc>
          <w:tcPr>
            <w:tcW w:w="1403" w:type="dxa"/>
            <w:noWrap/>
            <w:hideMark/>
          </w:tcPr>
          <w:p w:rsidR="00387F99" w:rsidRPr="00387F99" w:rsidRDefault="00387F99" w:rsidP="00B73241">
            <w:pPr>
              <w:ind w:left="66" w:firstLine="0"/>
              <w:jc w:val="right"/>
              <w:rPr>
                <w:rFonts w:ascii="Calibri" w:eastAsia="Times New Roman" w:hAnsi="Calibri" w:cs="Calibri"/>
                <w:b/>
                <w:bCs/>
                <w:color w:val="000000"/>
              </w:rPr>
            </w:pPr>
            <w:r w:rsidRPr="00387F99">
              <w:rPr>
                <w:rFonts w:ascii="Calibri" w:eastAsia="Times New Roman" w:hAnsi="Calibri" w:cs="Calibri"/>
                <w:b/>
                <w:bCs/>
                <w:color w:val="000000"/>
              </w:rPr>
              <w:t xml:space="preserve">% Total All </w:t>
            </w:r>
            <w:proofErr w:type="spellStart"/>
            <w:r w:rsidRPr="00387F99">
              <w:rPr>
                <w:rFonts w:ascii="Calibri" w:eastAsia="Times New Roman" w:hAnsi="Calibri" w:cs="Calibri"/>
                <w:b/>
                <w:bCs/>
                <w:color w:val="000000"/>
              </w:rPr>
              <w:t>Reqs</w:t>
            </w:r>
            <w:proofErr w:type="spellEnd"/>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Weeds/Debris</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9,497.00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22.75</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2.59</w:t>
            </w:r>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Building Maintenance</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6,715.00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16.09</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1.83</w:t>
            </w:r>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Vacant Building</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2,210.00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5.29</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0.60</w:t>
            </w:r>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Potholes</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1,876.00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4.49</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0.51</w:t>
            </w:r>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Abandoned Vehicle (parked on street)</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1,823.00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4.37</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0.50</w:t>
            </w:r>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Building Without a Permit</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1,678.00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4.02</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0.46</w:t>
            </w:r>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Broken Sidewalk</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861.00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2.06</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0.23</w:t>
            </w:r>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Illegal Parking</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725.00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1.74</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0.20</w:t>
            </w:r>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Unpermitted Electrical Work</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641.00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1.54</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0.17</w:t>
            </w:r>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Overgrowth</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583.00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1.40</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0.16</w:t>
            </w:r>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Pruning (city tree)</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568.00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1.36</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0.15</w:t>
            </w:r>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Litter</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521.00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1.25</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0.14</w:t>
            </w:r>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Patrol</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497.00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1.19</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0.14</w:t>
            </w:r>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Drug Enforcement</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488.00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1.17</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0.13</w:t>
            </w:r>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Fire Safety System Not Working</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457.00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1.09</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0.12</w:t>
            </w:r>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Zoning Issue</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419.00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1.00</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0.11</w:t>
            </w:r>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Fire Safety System Issue</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414.00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0.99</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0.11</w:t>
            </w:r>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Junk Vehicles</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413.00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0.99</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0.11</w:t>
            </w:r>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Replace/Repair a Sign</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404.00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0.97</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0.11</w:t>
            </w:r>
          </w:p>
        </w:tc>
      </w:tr>
      <w:tr w:rsidR="00387F99" w:rsidRPr="00387F99" w:rsidTr="00B73241">
        <w:trPr>
          <w:trHeight w:val="288"/>
        </w:trPr>
        <w:tc>
          <w:tcPr>
            <w:tcW w:w="3685" w:type="dxa"/>
            <w:noWrap/>
            <w:hideMark/>
          </w:tcPr>
          <w:p w:rsidR="00387F99" w:rsidRPr="00387F99" w:rsidRDefault="00387F99" w:rsidP="00387F99">
            <w:pPr>
              <w:ind w:left="0" w:firstLine="0"/>
              <w:rPr>
                <w:rFonts w:ascii="Calibri" w:eastAsia="Times New Roman" w:hAnsi="Calibri" w:cs="Calibri"/>
                <w:color w:val="000000"/>
              </w:rPr>
            </w:pPr>
            <w:r w:rsidRPr="00387F99">
              <w:rPr>
                <w:rFonts w:ascii="Calibri" w:eastAsia="Times New Roman" w:hAnsi="Calibri" w:cs="Calibri"/>
                <w:color w:val="000000"/>
              </w:rPr>
              <w:t>Graffiti, Documentation</w:t>
            </w:r>
          </w:p>
        </w:tc>
        <w:tc>
          <w:tcPr>
            <w:tcW w:w="1467" w:type="dxa"/>
            <w:noWrap/>
            <w:hideMark/>
          </w:tcPr>
          <w:p w:rsidR="00387F99" w:rsidRPr="00387F99" w:rsidRDefault="00387F99" w:rsidP="00B73241">
            <w:pPr>
              <w:ind w:left="0" w:firstLine="0"/>
              <w:jc w:val="right"/>
              <w:rPr>
                <w:rFonts w:ascii="Calibri" w:eastAsia="Times New Roman" w:hAnsi="Calibri" w:cs="Calibri"/>
                <w:color w:val="000000"/>
              </w:rPr>
            </w:pPr>
            <w:r w:rsidRPr="00387F99">
              <w:rPr>
                <w:rFonts w:ascii="Calibri" w:eastAsia="Times New Roman" w:hAnsi="Calibri" w:cs="Calibri"/>
                <w:color w:val="000000"/>
              </w:rPr>
              <w:t>386.00</w:t>
            </w:r>
          </w:p>
        </w:tc>
        <w:tc>
          <w:tcPr>
            <w:tcW w:w="1780" w:type="dxa"/>
            <w:noWrap/>
            <w:hideMark/>
          </w:tcPr>
          <w:p w:rsidR="00387F99" w:rsidRPr="00387F99" w:rsidRDefault="00387F99" w:rsidP="00B73241">
            <w:pPr>
              <w:ind w:left="42" w:firstLine="0"/>
              <w:jc w:val="right"/>
              <w:rPr>
                <w:rFonts w:ascii="Calibri" w:eastAsia="Times New Roman" w:hAnsi="Calibri" w:cs="Calibri"/>
                <w:color w:val="000000"/>
              </w:rPr>
            </w:pPr>
            <w:r w:rsidRPr="00387F99">
              <w:rPr>
                <w:rFonts w:ascii="Calibri" w:eastAsia="Times New Roman" w:hAnsi="Calibri" w:cs="Calibri"/>
                <w:color w:val="000000"/>
              </w:rPr>
              <w:t>0.92</w:t>
            </w:r>
          </w:p>
        </w:tc>
        <w:tc>
          <w:tcPr>
            <w:tcW w:w="1403" w:type="dxa"/>
            <w:noWrap/>
            <w:hideMark/>
          </w:tcPr>
          <w:p w:rsidR="00387F99" w:rsidRPr="00387F99" w:rsidRDefault="00387F99" w:rsidP="00B73241">
            <w:pPr>
              <w:ind w:left="66" w:firstLine="0"/>
              <w:jc w:val="right"/>
              <w:rPr>
                <w:rFonts w:ascii="Calibri" w:eastAsia="Times New Roman" w:hAnsi="Calibri" w:cs="Calibri"/>
                <w:color w:val="000000"/>
              </w:rPr>
            </w:pPr>
            <w:r w:rsidRPr="00387F99">
              <w:rPr>
                <w:rFonts w:ascii="Calibri" w:eastAsia="Times New Roman" w:hAnsi="Calibri" w:cs="Calibri"/>
                <w:color w:val="000000"/>
              </w:rPr>
              <w:t>0.11</w:t>
            </w:r>
          </w:p>
        </w:tc>
      </w:tr>
    </w:tbl>
    <w:p w:rsidR="00387F99" w:rsidRPr="00387F99" w:rsidRDefault="00387F99" w:rsidP="00387F99">
      <w:pPr>
        <w:ind w:left="720" w:firstLine="0"/>
        <w:rPr>
          <w:rFonts w:ascii="Calibri" w:eastAsia="Times New Roman" w:hAnsi="Calibri" w:cs="Calibri"/>
          <w:color w:val="000000"/>
        </w:rPr>
      </w:pPr>
    </w:p>
    <w:p w:rsidR="00197DFE" w:rsidRDefault="00B73241" w:rsidP="00387F99">
      <w:pPr>
        <w:ind w:left="0" w:hanging="14"/>
      </w:pPr>
      <w:r>
        <w:rPr>
          <w:noProof/>
        </w:rPr>
        <w:drawing>
          <wp:inline distT="0" distB="0" distL="0" distR="0" wp14:anchorId="0A7F5FDD" wp14:editId="04BF96C2">
            <wp:extent cx="5539740" cy="2186940"/>
            <wp:effectExtent l="0" t="0" r="3810" b="3810"/>
            <wp:docPr id="2" name="Chart 2">
              <a:extLst xmlns:a="http://schemas.openxmlformats.org/drawingml/2006/main">
                <a:ext uri="{FF2B5EF4-FFF2-40B4-BE49-F238E27FC236}">
                  <a16:creationId xmlns:a16="http://schemas.microsoft.com/office/drawing/2014/main" id="{1B3FE6C1-AD1B-4525-82E0-499BE84467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73241" w:rsidRPr="00197DFE" w:rsidRDefault="00B73241" w:rsidP="00387F99">
      <w:pPr>
        <w:ind w:left="0" w:hanging="14"/>
      </w:pPr>
    </w:p>
    <w:sectPr w:rsidR="00B73241" w:rsidRPr="00197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345D7"/>
    <w:multiLevelType w:val="hybridMultilevel"/>
    <w:tmpl w:val="1B866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C6"/>
    <w:rsid w:val="000D148A"/>
    <w:rsid w:val="00197DFE"/>
    <w:rsid w:val="00387F99"/>
    <w:rsid w:val="007D354B"/>
    <w:rsid w:val="008A73A2"/>
    <w:rsid w:val="00B73241"/>
    <w:rsid w:val="00C83C12"/>
    <w:rsid w:val="00F13C87"/>
    <w:rsid w:val="00F26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5C45"/>
  <w15:chartTrackingRefBased/>
  <w15:docId w15:val="{005D8302-2463-4697-94D8-7FD8CE4E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ind w:left="2174" w:hanging="18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E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EC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F26EC6"/>
    <w:rPr>
      <w:i/>
      <w:iCs/>
      <w:color w:val="4472C4" w:themeColor="accent1"/>
    </w:rPr>
  </w:style>
  <w:style w:type="character" w:customStyle="1" w:styleId="Heading2Char">
    <w:name w:val="Heading 2 Char"/>
    <w:basedOn w:val="DefaultParagraphFont"/>
    <w:link w:val="Heading2"/>
    <w:uiPriority w:val="9"/>
    <w:rsid w:val="00F26EC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26EC6"/>
    <w:rPr>
      <w:color w:val="0000FF"/>
      <w:u w:val="single"/>
    </w:rPr>
  </w:style>
  <w:style w:type="paragraph" w:styleId="ListParagraph">
    <w:name w:val="List Paragraph"/>
    <w:basedOn w:val="Normal"/>
    <w:uiPriority w:val="34"/>
    <w:qFormat/>
    <w:rsid w:val="00197DFE"/>
    <w:pPr>
      <w:ind w:left="720"/>
      <w:contextualSpacing/>
    </w:pPr>
  </w:style>
  <w:style w:type="table" w:styleId="TableGrid">
    <w:name w:val="Table Grid"/>
    <w:basedOn w:val="TableNormal"/>
    <w:uiPriority w:val="39"/>
    <w:rsid w:val="000D1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35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5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41297">
      <w:bodyDiv w:val="1"/>
      <w:marLeft w:val="0"/>
      <w:marRight w:val="0"/>
      <w:marTop w:val="0"/>
      <w:marBottom w:val="0"/>
      <w:divBdr>
        <w:top w:val="none" w:sz="0" w:space="0" w:color="auto"/>
        <w:left w:val="none" w:sz="0" w:space="0" w:color="auto"/>
        <w:bottom w:val="none" w:sz="0" w:space="0" w:color="auto"/>
        <w:right w:val="none" w:sz="0" w:space="0" w:color="auto"/>
      </w:divBdr>
    </w:div>
    <w:div w:id="384647267">
      <w:bodyDiv w:val="1"/>
      <w:marLeft w:val="0"/>
      <w:marRight w:val="0"/>
      <w:marTop w:val="0"/>
      <w:marBottom w:val="0"/>
      <w:divBdr>
        <w:top w:val="none" w:sz="0" w:space="0" w:color="auto"/>
        <w:left w:val="none" w:sz="0" w:space="0" w:color="auto"/>
        <w:bottom w:val="none" w:sz="0" w:space="0" w:color="auto"/>
        <w:right w:val="none" w:sz="0" w:space="0" w:color="auto"/>
      </w:divBdr>
    </w:div>
    <w:div w:id="474177351">
      <w:bodyDiv w:val="1"/>
      <w:marLeft w:val="0"/>
      <w:marRight w:val="0"/>
      <w:marTop w:val="0"/>
      <w:marBottom w:val="0"/>
      <w:divBdr>
        <w:top w:val="none" w:sz="0" w:space="0" w:color="auto"/>
        <w:left w:val="none" w:sz="0" w:space="0" w:color="auto"/>
        <w:bottom w:val="none" w:sz="0" w:space="0" w:color="auto"/>
        <w:right w:val="none" w:sz="0" w:space="0" w:color="auto"/>
      </w:divBdr>
    </w:div>
    <w:div w:id="528299174">
      <w:bodyDiv w:val="1"/>
      <w:marLeft w:val="0"/>
      <w:marRight w:val="0"/>
      <w:marTop w:val="0"/>
      <w:marBottom w:val="0"/>
      <w:divBdr>
        <w:top w:val="none" w:sz="0" w:space="0" w:color="auto"/>
        <w:left w:val="none" w:sz="0" w:space="0" w:color="auto"/>
        <w:bottom w:val="none" w:sz="0" w:space="0" w:color="auto"/>
        <w:right w:val="none" w:sz="0" w:space="0" w:color="auto"/>
      </w:divBdr>
    </w:div>
    <w:div w:id="876159022">
      <w:bodyDiv w:val="1"/>
      <w:marLeft w:val="0"/>
      <w:marRight w:val="0"/>
      <w:marTop w:val="0"/>
      <w:marBottom w:val="0"/>
      <w:divBdr>
        <w:top w:val="none" w:sz="0" w:space="0" w:color="auto"/>
        <w:left w:val="none" w:sz="0" w:space="0" w:color="auto"/>
        <w:bottom w:val="none" w:sz="0" w:space="0" w:color="auto"/>
        <w:right w:val="none" w:sz="0" w:space="0" w:color="auto"/>
      </w:divBdr>
    </w:div>
    <w:div w:id="1012755229">
      <w:bodyDiv w:val="1"/>
      <w:marLeft w:val="0"/>
      <w:marRight w:val="0"/>
      <w:marTop w:val="0"/>
      <w:marBottom w:val="0"/>
      <w:divBdr>
        <w:top w:val="none" w:sz="0" w:space="0" w:color="auto"/>
        <w:left w:val="none" w:sz="0" w:space="0" w:color="auto"/>
        <w:bottom w:val="none" w:sz="0" w:space="0" w:color="auto"/>
        <w:right w:val="none" w:sz="0" w:space="0" w:color="auto"/>
      </w:divBdr>
    </w:div>
    <w:div w:id="1044871547">
      <w:bodyDiv w:val="1"/>
      <w:marLeft w:val="0"/>
      <w:marRight w:val="0"/>
      <w:marTop w:val="0"/>
      <w:marBottom w:val="0"/>
      <w:divBdr>
        <w:top w:val="none" w:sz="0" w:space="0" w:color="auto"/>
        <w:left w:val="none" w:sz="0" w:space="0" w:color="auto"/>
        <w:bottom w:val="none" w:sz="0" w:space="0" w:color="auto"/>
        <w:right w:val="none" w:sz="0" w:space="0" w:color="auto"/>
      </w:divBdr>
    </w:div>
    <w:div w:id="1183789088">
      <w:bodyDiv w:val="1"/>
      <w:marLeft w:val="0"/>
      <w:marRight w:val="0"/>
      <w:marTop w:val="0"/>
      <w:marBottom w:val="0"/>
      <w:divBdr>
        <w:top w:val="none" w:sz="0" w:space="0" w:color="auto"/>
        <w:left w:val="none" w:sz="0" w:space="0" w:color="auto"/>
        <w:bottom w:val="none" w:sz="0" w:space="0" w:color="auto"/>
        <w:right w:val="none" w:sz="0" w:space="0" w:color="auto"/>
      </w:divBdr>
    </w:div>
    <w:div w:id="1704208892">
      <w:bodyDiv w:val="1"/>
      <w:marLeft w:val="0"/>
      <w:marRight w:val="0"/>
      <w:marTop w:val="0"/>
      <w:marBottom w:val="0"/>
      <w:divBdr>
        <w:top w:val="none" w:sz="0" w:space="0" w:color="auto"/>
        <w:left w:val="none" w:sz="0" w:space="0" w:color="auto"/>
        <w:bottom w:val="none" w:sz="0" w:space="0" w:color="auto"/>
        <w:right w:val="none" w:sz="0" w:space="0" w:color="auto"/>
      </w:divBdr>
    </w:div>
    <w:div w:id="1726297229">
      <w:bodyDiv w:val="1"/>
      <w:marLeft w:val="0"/>
      <w:marRight w:val="0"/>
      <w:marTop w:val="0"/>
      <w:marBottom w:val="0"/>
      <w:divBdr>
        <w:top w:val="none" w:sz="0" w:space="0" w:color="auto"/>
        <w:left w:val="none" w:sz="0" w:space="0" w:color="auto"/>
        <w:bottom w:val="none" w:sz="0" w:space="0" w:color="auto"/>
        <w:right w:val="none" w:sz="0" w:space="0" w:color="auto"/>
      </w:divBdr>
    </w:div>
    <w:div w:id="1733574062">
      <w:bodyDiv w:val="1"/>
      <w:marLeft w:val="0"/>
      <w:marRight w:val="0"/>
      <w:marTop w:val="0"/>
      <w:marBottom w:val="0"/>
      <w:divBdr>
        <w:top w:val="none" w:sz="0" w:space="0" w:color="auto"/>
        <w:left w:val="none" w:sz="0" w:space="0" w:color="auto"/>
        <w:bottom w:val="none" w:sz="0" w:space="0" w:color="auto"/>
        <w:right w:val="none" w:sz="0" w:space="0" w:color="auto"/>
      </w:divBdr>
    </w:div>
    <w:div w:id="1877695135">
      <w:bodyDiv w:val="1"/>
      <w:marLeft w:val="0"/>
      <w:marRight w:val="0"/>
      <w:marTop w:val="0"/>
      <w:marBottom w:val="0"/>
      <w:divBdr>
        <w:top w:val="none" w:sz="0" w:space="0" w:color="auto"/>
        <w:left w:val="none" w:sz="0" w:space="0" w:color="auto"/>
        <w:bottom w:val="none" w:sz="0" w:space="0" w:color="auto"/>
        <w:right w:val="none" w:sz="0" w:space="0" w:color="auto"/>
      </w:divBdr>
    </w:div>
    <w:div w:id="189958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data.wprdc.org/"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nydi\Documents\DAT-129_Play_Code\Week_3_Exercises\311_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nydi\Documents\DAT-129_Play_Code\Week_3_Exercises\311_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Top 10 </a:t>
            </a:r>
            <a:r>
              <a:rPr lang="en-US" b="1" baseline="0"/>
              <a:t>Types of Service Requests</a:t>
            </a:r>
            <a:endParaRPr lang="en-US" b="1"/>
          </a:p>
        </c:rich>
      </c:tx>
      <c:layout>
        <c:manualLayout>
          <c:xMode val="edge"/>
          <c:yMode val="edge"/>
          <c:x val="0.25163971655151068"/>
          <c:y val="2.894954507857733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Top_10_Requests!$B$1</c:f>
              <c:strCache>
                <c:ptCount val="1"/>
                <c:pt idx="0">
                  <c:v>Request Count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498C-4A54-9F7A-E249E2130CB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498C-4A54-9F7A-E249E2130CB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498C-4A54-9F7A-E249E2130CB3}"/>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498C-4A54-9F7A-E249E2130CB3}"/>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498C-4A54-9F7A-E249E2130CB3}"/>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498C-4A54-9F7A-E249E2130CB3}"/>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498C-4A54-9F7A-E249E2130CB3}"/>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498C-4A54-9F7A-E249E2130CB3}"/>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1-498C-4A54-9F7A-E249E2130CB3}"/>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3-498C-4A54-9F7A-E249E2130CB3}"/>
              </c:ext>
            </c:extLst>
          </c:dPt>
          <c:dPt>
            <c:idx val="10"/>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15-498C-4A54-9F7A-E249E2130CB3}"/>
              </c:ext>
            </c:extLst>
          </c:dPt>
          <c:dLbls>
            <c:dLbl>
              <c:idx val="0"/>
              <c:layout>
                <c:manualLayout>
                  <c:x val="3.0513117330471424E-2"/>
                  <c:y val="-8.7652970177735223E-3"/>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498C-4A54-9F7A-E249E2130CB3}"/>
                </c:ext>
              </c:extLst>
            </c:dLbl>
            <c:dLbl>
              <c:idx val="1"/>
              <c:layout>
                <c:manualLayout>
                  <c:x val="1.1111111111111112E-2"/>
                  <c:y val="-0.14351851851851855"/>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498C-4A54-9F7A-E249E2130CB3}"/>
                </c:ext>
              </c:extLst>
            </c:dLbl>
            <c:dLbl>
              <c:idx val="2"/>
              <c:layout>
                <c:manualLayout>
                  <c:x val="8.3333333333333329E-2"/>
                  <c:y val="-0.1435185185185185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498C-4A54-9F7A-E249E2130CB3}"/>
                </c:ext>
              </c:extLst>
            </c:dLbl>
            <c:dLbl>
              <c:idx val="3"/>
              <c:layout>
                <c:manualLayout>
                  <c:x val="2.1751013895085474E-3"/>
                  <c:y val="-5.2775606833264946E-2"/>
                </c:manualLayout>
              </c:layout>
              <c:dLblPos val="bestFit"/>
              <c:showLegendKey val="0"/>
              <c:showVal val="0"/>
              <c:showCatName val="1"/>
              <c:showSerName val="0"/>
              <c:showPercent val="1"/>
              <c:showBubbleSize val="0"/>
              <c:extLst>
                <c:ext xmlns:c15="http://schemas.microsoft.com/office/drawing/2012/chart" uri="{CE6537A1-D6FC-4f65-9D91-7224C49458BB}">
                  <c15:layout>
                    <c:manualLayout>
                      <c:w val="0.13733826916352149"/>
                      <c:h val="0.16217476537517175"/>
                    </c:manualLayout>
                  </c15:layout>
                </c:ext>
                <c:ext xmlns:c16="http://schemas.microsoft.com/office/drawing/2014/chart" uri="{C3380CC4-5D6E-409C-BE32-E72D297353CC}">
                  <c16:uniqueId val="{00000007-498C-4A54-9F7A-E249E2130CB3}"/>
                </c:ext>
              </c:extLst>
            </c:dLbl>
            <c:dLbl>
              <c:idx val="4"/>
              <c:layout>
                <c:manualLayout>
                  <c:x val="0"/>
                  <c:y val="6.7721420058224735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498C-4A54-9F7A-E249E2130CB3}"/>
                </c:ext>
              </c:extLst>
            </c:dLbl>
            <c:dLbl>
              <c:idx val="5"/>
              <c:layout>
                <c:manualLayout>
                  <c:x val="-7.462147246908063E-2"/>
                  <c:y val="0.16690796714926748"/>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498C-4A54-9F7A-E249E2130CB3}"/>
                </c:ext>
              </c:extLst>
            </c:dLbl>
            <c:dLbl>
              <c:idx val="6"/>
              <c:layout>
                <c:manualLayout>
                  <c:x val="-0.21111111111111111"/>
                  <c:y val="0.11574074074074074"/>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D-498C-4A54-9F7A-E249E2130CB3}"/>
                </c:ext>
              </c:extLst>
            </c:dLbl>
            <c:dLbl>
              <c:idx val="7"/>
              <c:layout>
                <c:manualLayout>
                  <c:x val="-0.29166666666666669"/>
                  <c:y val="7.407407407407407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F-498C-4A54-9F7A-E249E2130CB3}"/>
                </c:ext>
              </c:extLst>
            </c:dLbl>
            <c:dLbl>
              <c:idx val="8"/>
              <c:layout>
                <c:manualLayout>
                  <c:x val="-0.42349402917284651"/>
                  <c:y val="2.522746071133183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1-498C-4A54-9F7A-E249E2130CB3}"/>
                </c:ext>
              </c:extLst>
            </c:dLbl>
            <c:dLbl>
              <c:idx val="9"/>
              <c:layout>
                <c:manualLayout>
                  <c:x val="-0.58871873404798369"/>
                  <c:y val="-3.359059025810359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3-498C-4A54-9F7A-E249E2130CB3}"/>
                </c:ext>
              </c:extLst>
            </c:dLbl>
            <c:dLbl>
              <c:idx val="10"/>
              <c:layout>
                <c:manualLayout>
                  <c:x val="-4.1666666666666692E-2"/>
                  <c:y val="5.5555555555555552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15-498C-4A54-9F7A-E249E2130CB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Top_10_Requests!$A$2:$A$12</c:f>
              <c:strCache>
                <c:ptCount val="11"/>
                <c:pt idx="0">
                  <c:v>Potholes</c:v>
                </c:pt>
                <c:pt idx="1">
                  <c:v>Weeds/Debris</c:v>
                </c:pt>
                <c:pt idx="2">
                  <c:v>Building Maintenance</c:v>
                </c:pt>
                <c:pt idx="3">
                  <c:v>Snow/Ice removal</c:v>
                </c:pt>
                <c:pt idx="4">
                  <c:v>Abandoned Vehicle (parked on street)</c:v>
                </c:pt>
                <c:pt idx="5">
                  <c:v>Refuse Violations</c:v>
                </c:pt>
                <c:pt idx="6">
                  <c:v>Missed Pick Up</c:v>
                </c:pt>
                <c:pt idx="7">
                  <c:v>Litter</c:v>
                </c:pt>
                <c:pt idx="8">
                  <c:v>Illegal Parking</c:v>
                </c:pt>
                <c:pt idx="9">
                  <c:v>Replace/Repair a Sign</c:v>
                </c:pt>
                <c:pt idx="10">
                  <c:v>Other</c:v>
                </c:pt>
              </c:strCache>
            </c:strRef>
          </c:cat>
          <c:val>
            <c:numRef>
              <c:f>Top_10_Requests!$B$2:$B$12</c:f>
              <c:numCache>
                <c:formatCode>#,##0.00</c:formatCode>
                <c:ptCount val="11"/>
                <c:pt idx="0">
                  <c:v>51428</c:v>
                </c:pt>
                <c:pt idx="1">
                  <c:v>33680</c:v>
                </c:pt>
                <c:pt idx="2">
                  <c:v>17462</c:v>
                </c:pt>
                <c:pt idx="3">
                  <c:v>12488</c:v>
                </c:pt>
                <c:pt idx="4">
                  <c:v>10326</c:v>
                </c:pt>
                <c:pt idx="5">
                  <c:v>10015</c:v>
                </c:pt>
                <c:pt idx="6">
                  <c:v>8420</c:v>
                </c:pt>
                <c:pt idx="7">
                  <c:v>7827</c:v>
                </c:pt>
                <c:pt idx="8">
                  <c:v>7248</c:v>
                </c:pt>
                <c:pt idx="9">
                  <c:v>7035</c:v>
                </c:pt>
                <c:pt idx="10">
                  <c:v>201132</c:v>
                </c:pt>
              </c:numCache>
            </c:numRef>
          </c:val>
          <c:extLst>
            <c:ext xmlns:c16="http://schemas.microsoft.com/office/drawing/2014/chart" uri="{C3380CC4-5D6E-409C-BE32-E72D297353CC}">
              <c16:uniqueId val="{00000016-498C-4A54-9F7A-E249E2130CB3}"/>
            </c:ext>
          </c:extLst>
        </c:ser>
        <c:ser>
          <c:idx val="1"/>
          <c:order val="1"/>
          <c:tx>
            <c:strRef>
              <c:f>Top_10_Requests!$C$1</c:f>
              <c:strCache>
                <c:ptCount val="1"/>
                <c:pt idx="0">
                  <c:v>% Total Reqs</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18-498C-4A54-9F7A-E249E2130CB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1A-498C-4A54-9F7A-E249E2130CB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1C-498C-4A54-9F7A-E249E2130CB3}"/>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1E-498C-4A54-9F7A-E249E2130CB3}"/>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20-498C-4A54-9F7A-E249E2130CB3}"/>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22-498C-4A54-9F7A-E249E2130CB3}"/>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4-498C-4A54-9F7A-E249E2130CB3}"/>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6-498C-4A54-9F7A-E249E2130CB3}"/>
              </c:ext>
            </c:extLst>
          </c:dPt>
          <c:dPt>
            <c:idx val="8"/>
            <c:bubble3D val="0"/>
            <c:spPr>
              <a:solidFill>
                <a:schemeClr val="accent3">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8-498C-4A54-9F7A-E249E2130CB3}"/>
              </c:ext>
            </c:extLst>
          </c:dPt>
          <c:dPt>
            <c:idx val="9"/>
            <c:bubble3D val="0"/>
            <c:spPr>
              <a:solidFill>
                <a:schemeClr val="accent4">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A-498C-4A54-9F7A-E249E2130CB3}"/>
              </c:ext>
            </c:extLst>
          </c:dPt>
          <c:dPt>
            <c:idx val="10"/>
            <c:bubble3D val="0"/>
            <c:spPr>
              <a:solidFill>
                <a:schemeClr val="accent5">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2C-498C-4A54-9F7A-E249E2130CB3}"/>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Top_10_Requests!$A$2:$A$12</c:f>
              <c:strCache>
                <c:ptCount val="11"/>
                <c:pt idx="0">
                  <c:v>Potholes</c:v>
                </c:pt>
                <c:pt idx="1">
                  <c:v>Weeds/Debris</c:v>
                </c:pt>
                <c:pt idx="2">
                  <c:v>Building Maintenance</c:v>
                </c:pt>
                <c:pt idx="3">
                  <c:v>Snow/Ice removal</c:v>
                </c:pt>
                <c:pt idx="4">
                  <c:v>Abandoned Vehicle (parked on street)</c:v>
                </c:pt>
                <c:pt idx="5">
                  <c:v>Refuse Violations</c:v>
                </c:pt>
                <c:pt idx="6">
                  <c:v>Missed Pick Up</c:v>
                </c:pt>
                <c:pt idx="7">
                  <c:v>Litter</c:v>
                </c:pt>
                <c:pt idx="8">
                  <c:v>Illegal Parking</c:v>
                </c:pt>
                <c:pt idx="9">
                  <c:v>Replace/Repair a Sign</c:v>
                </c:pt>
                <c:pt idx="10">
                  <c:v>Other</c:v>
                </c:pt>
              </c:strCache>
            </c:strRef>
          </c:cat>
          <c:val>
            <c:numRef>
              <c:f>Top_10_Requests!$C$2:$C$12</c:f>
              <c:numCache>
                <c:formatCode>0.00</c:formatCode>
                <c:ptCount val="11"/>
                <c:pt idx="0">
                  <c:v>14.01075025676931</c:v>
                </c:pt>
                <c:pt idx="1">
                  <c:v>9.1755866191178033</c:v>
                </c:pt>
                <c:pt idx="2">
                  <c:v>4.7572474329879766</c:v>
                </c:pt>
                <c:pt idx="3">
                  <c:v>3.4021593141194511</c:v>
                </c:pt>
                <c:pt idx="4">
                  <c:v>2.8131563963482908</c:v>
                </c:pt>
                <c:pt idx="5">
                  <c:v>2.7284293346337529</c:v>
                </c:pt>
                <c:pt idx="6">
                  <c:v>2.2938966547794508</c:v>
                </c:pt>
                <c:pt idx="7">
                  <c:v>2.1323431255295442</c:v>
                </c:pt>
                <c:pt idx="8">
                  <c:v>1.974603676228202</c:v>
                </c:pt>
                <c:pt idx="9">
                  <c:v>1.916575174153615</c:v>
                </c:pt>
                <c:pt idx="10">
                  <c:v>54.795252015332593</c:v>
                </c:pt>
              </c:numCache>
            </c:numRef>
          </c:val>
          <c:extLst>
            <c:ext xmlns:c16="http://schemas.microsoft.com/office/drawing/2014/chart" uri="{C3380CC4-5D6E-409C-BE32-E72D297353CC}">
              <c16:uniqueId val="{0000002D-498C-4A54-9F7A-E249E2130CB3}"/>
            </c:ext>
          </c:extLst>
        </c:ser>
        <c:dLbls>
          <c:showLegendKey val="0"/>
          <c:showVal val="0"/>
          <c:showCatName val="0"/>
          <c:showSerName val="0"/>
          <c:showPercent val="0"/>
          <c:showBubbleSize val="0"/>
          <c:showLeaderLines val="0"/>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C00000"/>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Top 20 Open Request</a:t>
            </a:r>
            <a:r>
              <a:rPr lang="en-US" b="1" baseline="0"/>
              <a:t> Types</a:t>
            </a:r>
            <a:endParaRPr lang="en-US"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Top_20_Open_Requests!$B$1</c:f>
              <c:strCache>
                <c:ptCount val="1"/>
                <c:pt idx="0">
                  <c:v>Open Req Count</c:v>
                </c:pt>
              </c:strCache>
            </c:strRef>
          </c:tx>
          <c:spPr>
            <a:solidFill>
              <a:schemeClr val="accent1"/>
            </a:solidFill>
            <a:ln>
              <a:noFill/>
            </a:ln>
            <a:effectLst/>
            <a:sp3d/>
          </c:spPr>
          <c:invertIfNegative val="0"/>
          <c:cat>
            <c:strRef>
              <c:f>Top_20_Open_Requests!$A$2:$A$21</c:f>
              <c:strCache>
                <c:ptCount val="20"/>
                <c:pt idx="0">
                  <c:v>Weeds/Debris</c:v>
                </c:pt>
                <c:pt idx="1">
                  <c:v>Building Maintenance</c:v>
                </c:pt>
                <c:pt idx="2">
                  <c:v>Vacant Building</c:v>
                </c:pt>
                <c:pt idx="3">
                  <c:v>Potholes</c:v>
                </c:pt>
                <c:pt idx="4">
                  <c:v>Abandoned Vehicle (parked on street)</c:v>
                </c:pt>
                <c:pt idx="5">
                  <c:v>Building Without a Permit</c:v>
                </c:pt>
                <c:pt idx="6">
                  <c:v>Broken Sidewalk</c:v>
                </c:pt>
                <c:pt idx="7">
                  <c:v>Illegal Parking</c:v>
                </c:pt>
                <c:pt idx="8">
                  <c:v>Unpermitted Electrical Work</c:v>
                </c:pt>
                <c:pt idx="9">
                  <c:v>Overgrowth</c:v>
                </c:pt>
                <c:pt idx="10">
                  <c:v>Pruning (city tree)</c:v>
                </c:pt>
                <c:pt idx="11">
                  <c:v>Litter</c:v>
                </c:pt>
                <c:pt idx="12">
                  <c:v>Patrol</c:v>
                </c:pt>
                <c:pt idx="13">
                  <c:v>Drug Enforcement</c:v>
                </c:pt>
                <c:pt idx="14">
                  <c:v>Fire Safety System Not Working</c:v>
                </c:pt>
                <c:pt idx="15">
                  <c:v>Zoning Issue</c:v>
                </c:pt>
                <c:pt idx="16">
                  <c:v>Fire Safety System Issue</c:v>
                </c:pt>
                <c:pt idx="17">
                  <c:v>Junk Vehicles</c:v>
                </c:pt>
                <c:pt idx="18">
                  <c:v>Replace/Repair a Sign</c:v>
                </c:pt>
                <c:pt idx="19">
                  <c:v>Graffiti, Documentation</c:v>
                </c:pt>
              </c:strCache>
            </c:strRef>
          </c:cat>
          <c:val>
            <c:numRef>
              <c:f>Top_20_Open_Requests!$B$2:$B$21</c:f>
              <c:numCache>
                <c:formatCode>#,##0.00</c:formatCode>
                <c:ptCount val="20"/>
                <c:pt idx="0">
                  <c:v>9497</c:v>
                </c:pt>
                <c:pt idx="1">
                  <c:v>6715</c:v>
                </c:pt>
                <c:pt idx="2">
                  <c:v>2210</c:v>
                </c:pt>
                <c:pt idx="3">
                  <c:v>1876</c:v>
                </c:pt>
                <c:pt idx="4">
                  <c:v>1823</c:v>
                </c:pt>
                <c:pt idx="5">
                  <c:v>1678</c:v>
                </c:pt>
                <c:pt idx="6">
                  <c:v>861</c:v>
                </c:pt>
                <c:pt idx="7">
                  <c:v>725</c:v>
                </c:pt>
                <c:pt idx="8">
                  <c:v>641</c:v>
                </c:pt>
                <c:pt idx="9">
                  <c:v>583</c:v>
                </c:pt>
                <c:pt idx="10">
                  <c:v>568</c:v>
                </c:pt>
                <c:pt idx="11">
                  <c:v>521</c:v>
                </c:pt>
                <c:pt idx="12">
                  <c:v>497</c:v>
                </c:pt>
                <c:pt idx="13">
                  <c:v>488</c:v>
                </c:pt>
                <c:pt idx="14">
                  <c:v>457</c:v>
                </c:pt>
                <c:pt idx="15">
                  <c:v>419</c:v>
                </c:pt>
                <c:pt idx="16">
                  <c:v>414</c:v>
                </c:pt>
                <c:pt idx="17">
                  <c:v>413</c:v>
                </c:pt>
                <c:pt idx="18">
                  <c:v>404</c:v>
                </c:pt>
                <c:pt idx="19">
                  <c:v>386</c:v>
                </c:pt>
              </c:numCache>
            </c:numRef>
          </c:val>
          <c:extLst>
            <c:ext xmlns:c16="http://schemas.microsoft.com/office/drawing/2014/chart" uri="{C3380CC4-5D6E-409C-BE32-E72D297353CC}">
              <c16:uniqueId val="{00000000-1BDA-4058-A0F1-F199110F4A16}"/>
            </c:ext>
          </c:extLst>
        </c:ser>
        <c:dLbls>
          <c:showLegendKey val="0"/>
          <c:showVal val="0"/>
          <c:showCatName val="0"/>
          <c:showSerName val="0"/>
          <c:showPercent val="0"/>
          <c:showBubbleSize val="0"/>
        </c:dLbls>
        <c:gapWidth val="150"/>
        <c:shape val="box"/>
        <c:axId val="133586448"/>
        <c:axId val="183639280"/>
        <c:axId val="0"/>
      </c:bar3DChart>
      <c:catAx>
        <c:axId val="133586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Request</a:t>
                </a:r>
                <a:r>
                  <a:rPr lang="en-US" b="1" baseline="0"/>
                  <a:t> Type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639280"/>
        <c:crosses val="autoZero"/>
        <c:auto val="1"/>
        <c:lblAlgn val="ctr"/>
        <c:lblOffset val="100"/>
        <c:noMultiLvlLbl val="0"/>
      </c:catAx>
      <c:valAx>
        <c:axId val="18363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Count</a:t>
                </a:r>
              </a:p>
            </c:rich>
          </c:tx>
          <c:layout>
            <c:manualLayout>
              <c:xMode val="edge"/>
              <c:yMode val="edge"/>
              <c:x val="5.476531058617673E-2"/>
              <c:y val="0.3121762904636921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586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rgbClr val="C00000"/>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454</Words>
  <Characters>2592</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Analysis of Open Requests in the WPRDC’s 311 Dataset</vt:lpstr>
      <vt:lpstr>    Introduction</vt:lpstr>
      <vt:lpstr>    Top 10 Service Requests</vt:lpstr>
      <vt:lpstr>    Top 20 Open Requests</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Nydick</dc:creator>
  <cp:keywords/>
  <dc:description/>
  <cp:lastModifiedBy>Lisa Nydick</cp:lastModifiedBy>
  <cp:revision>2</cp:revision>
  <dcterms:created xsi:type="dcterms:W3CDTF">2019-09-19T20:00:00Z</dcterms:created>
  <dcterms:modified xsi:type="dcterms:W3CDTF">2019-09-19T21:07:00Z</dcterms:modified>
</cp:coreProperties>
</file>