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Budget Variance Analysis Report — Q1 2026</w:t>
      </w:r>
    </w:p>
    <w:p>
      <w:r>
        <w:t>Organisation: Apex Digital Government Authority (ADGA)</w:t>
      </w:r>
    </w:p>
    <w:p>
      <w:r>
        <w:t>Period: January – March 2026 (Q1 FY2026)</w:t>
      </w:r>
    </w:p>
    <w:p>
      <w:r>
        <w:t>Report Date: 2026-04-14</w:t>
      </w:r>
    </w:p>
    <w:p>
      <w:r>
        <w:t>Prepared by: Multi-Agent Budget Analysis Workflow</w:t>
      </w:r>
    </w:p>
    <w:p>
      <w:r>
        <w:t>Classification: Internal — Finance &amp; Senior Leadership Only</w:t>
      </w:r>
    </w:p>
    <w:p>
      <w:r>
        <w:t>────────────────────────────────────────────────────────────</w:t>
      </w:r>
    </w:p>
    <w:p>
      <w:pPr>
        <w:pStyle w:val="Heading2"/>
      </w:pPr>
      <w:r>
        <w:t>📊 Executive Summary</w:t>
      </w:r>
    </w:p>
    <w:p>
      <w:r>
        <w:t>Overall organisational variance for the reporting dataset is AED 1,070,000 (+5.53%), classified as MINOR under current policy. Data available for reconciliation are official Q4 2025 actuals and 2025–26 approved budgets; Q1 2026 actuals and department narratives/economic validations were not provided, so this analysis is limited and flagged accordingly. No departments meet the Board-level CRITICAL threshold (&gt;25%). One department (Finance &amp; Procurement) has a percent-based overspend (11.43%) that would normally be classed as SIGNIFICANT (CFO review) by percentage, but remains classified as MINOR under the organisation’s applied policy due to an AED minimum variance threshold — see details and recommendation to escalate to the CFO for discretionary review.</w:t>
      </w:r>
    </w:p>
    <w:p>
      <w:r>
        <w:t>Key Highlights:</w:t>
      </w:r>
    </w:p>
    <w:p>
      <w:pPr>
        <w:pStyle w:val="ListBullet"/>
      </w:pPr>
      <w:r>
        <w:t>🚨 0 department(s) require Board notification</w:t>
      </w:r>
    </w:p>
    <w:p>
      <w:pPr>
        <w:pStyle w:val="ListBullet"/>
      </w:pPr>
      <w:r>
        <w:t>🔶 0 department(s) formally flagged for CFO approval under the organisation’s AED-minimum policy; recommend CFO review for FIN given percent-based criteria</w:t>
      </w:r>
    </w:p>
    <w:p>
      <w:pPr>
        <w:pStyle w:val="ListBullet"/>
      </w:pPr>
      <w:r>
        <w:t>✅ Overall compliance status: ISSUES_IDENTIFIED (data gaps: missing department narratives &amp; economic context)</w:t>
      </w:r>
    </w:p>
    <w:p>
      <w:pPr>
        <w:pStyle w:val="ListBullet"/>
      </w:pPr>
      <w:r>
        <w:t>📈 Economic context: UNCLEAR (no Agent 2 economic validation provided; external validation missing)</w:t>
      </w:r>
    </w:p>
    <w:p>
      <w:r>
        <w:t>────────────────────────────────────────────────────────────</w:t>
      </w:r>
    </w:p>
    <w:p>
      <w:pPr>
        <w:pStyle w:val="Heading2"/>
      </w:pPr>
      <w:r>
        <w:t>💰 Overall Budget Position</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Approved Budget (Q1)</w:t>
            </w:r>
          </w:p>
        </w:tc>
        <w:tc>
          <w:tcPr>
            <w:tcW w:type="dxa" w:w="4320"/>
          </w:tcPr>
          <w:p>
            <w:r>
              <w:t>AED 19,350,000</w:t>
            </w:r>
          </w:p>
        </w:tc>
      </w:tr>
      <w:tr>
        <w:tc>
          <w:tcPr>
            <w:tcW w:type="dxa" w:w="4320"/>
          </w:tcPr>
          <w:p>
            <w:r>
              <w:t>Total Actual Spend (Q1)</w:t>
            </w:r>
          </w:p>
        </w:tc>
        <w:tc>
          <w:tcPr>
            <w:tcW w:type="dxa" w:w="4320"/>
          </w:tcPr>
          <w:p>
            <w:r>
              <w:t>AED 20,420,000</w:t>
            </w:r>
          </w:p>
        </w:tc>
      </w:tr>
      <w:tr>
        <w:tc>
          <w:tcPr>
            <w:tcW w:type="dxa" w:w="4320"/>
          </w:tcPr>
          <w:p>
            <w:r>
              <w:t>Total Variance</w:t>
            </w:r>
          </w:p>
        </w:tc>
        <w:tc>
          <w:tcPr>
            <w:tcW w:type="dxa" w:w="4320"/>
          </w:tcPr>
          <w:p>
            <w:r>
              <w:t>AED +1,070,000 (+5.5%)</w:t>
            </w:r>
          </w:p>
        </w:tc>
      </w:tr>
      <w:tr>
        <w:tc>
          <w:tcPr>
            <w:tcW w:type="dxa" w:w="4320"/>
          </w:tcPr>
          <w:p>
            <w:r>
              <w:t>Overall Policy Status</w:t>
            </w:r>
          </w:p>
        </w:tc>
        <w:tc>
          <w:tcPr>
            <w:tcW w:type="dxa" w:w="4320"/>
          </w:tcPr>
          <w:p>
            <w:r>
              <w:t>⚠️ MINOR</w:t>
            </w:r>
          </w:p>
        </w:tc>
      </w:tr>
      <w:tr>
        <w:tc>
          <w:tcPr>
            <w:tcW w:type="dxa" w:w="4320"/>
          </w:tcPr>
          <w:p>
            <w:r>
              <w:t>Departments Over Budget</w:t>
            </w:r>
          </w:p>
        </w:tc>
        <w:tc>
          <w:tcPr>
            <w:tcW w:type="dxa" w:w="4320"/>
          </w:tcPr>
          <w:p>
            <w:r>
              <w:t>4 of 6</w:t>
            </w:r>
          </w:p>
        </w:tc>
      </w:tr>
      <w:tr>
        <w:tc>
          <w:tcPr>
            <w:tcW w:type="dxa" w:w="4320"/>
          </w:tcPr>
          <w:p>
            <w:r>
              <w:t>Departments Under Budget</w:t>
            </w:r>
          </w:p>
        </w:tc>
        <w:tc>
          <w:tcPr>
            <w:tcW w:type="dxa" w:w="4320"/>
          </w:tcPr>
          <w:p>
            <w:r>
              <w:t>2 of 6</w:t>
            </w:r>
          </w:p>
        </w:tc>
      </w:tr>
      <w:tr>
        <w:tc>
          <w:tcPr>
            <w:tcW w:type="dxa" w:w="4320"/>
          </w:tcPr>
          <w:p>
            <w:r>
              <w:t>Claim Accuracy</w:t>
            </w:r>
          </w:p>
        </w:tc>
        <w:tc>
          <w:tcPr>
            <w:tcW w:type="dxa" w:w="4320"/>
          </w:tcPr>
          <w:p>
            <w:r>
              <w:t>0% (no department narratives submitted — claim accuracy not measurable)</w:t>
            </w:r>
          </w:p>
        </w:tc>
      </w:tr>
    </w:tbl>
    <w:p>
      <w:r>
        <w:t>Note: Official actuals used are Q4 2025 data (per Agent 3). Q1 2026 actuals were not available; treat above totals as the reconciled dataset rather than live Q1 results.</w:t>
      </w:r>
    </w:p>
    <w:p>
      <w:r>
        <w:t>────────────────────────────────────────────────────────────</w:t>
      </w:r>
    </w:p>
    <w:p>
      <w:pPr>
        <w:pStyle w:val="Heading2"/>
      </w:pPr>
      <w:r>
        <w:t>📋 Department Variance Summary</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Dept</w:t>
            </w:r>
          </w:p>
        </w:tc>
        <w:tc>
          <w:tcPr>
            <w:tcW w:type="dxa" w:w="960"/>
          </w:tcPr>
          <w:p>
            <w:r>
              <w:rPr>
                <w:b/>
              </w:rPr>
              <w:t>Department Name</w:t>
            </w:r>
          </w:p>
        </w:tc>
        <w:tc>
          <w:tcPr>
            <w:tcW w:type="dxa" w:w="960"/>
          </w:tcPr>
          <w:p>
            <w:r>
              <w:rPr>
                <w:b/>
              </w:rPr>
              <w:t>Approved (AED)</w:t>
            </w:r>
          </w:p>
        </w:tc>
        <w:tc>
          <w:tcPr>
            <w:tcW w:type="dxa" w:w="960"/>
          </w:tcPr>
          <w:p>
            <w:r>
              <w:rPr>
                <w:b/>
              </w:rPr>
              <w:t>Actual (AED)</w:t>
            </w:r>
          </w:p>
        </w:tc>
        <w:tc>
          <w:tcPr>
            <w:tcW w:type="dxa" w:w="960"/>
          </w:tcPr>
          <w:p>
            <w:r>
              <w:rPr>
                <w:b/>
              </w:rPr>
              <w:t>Variance (AED)</w:t>
            </w:r>
          </w:p>
        </w:tc>
        <w:tc>
          <w:tcPr>
            <w:tcW w:type="dxa" w:w="960"/>
          </w:tcPr>
          <w:p>
            <w:r>
              <w:rPr>
                <w:b/>
              </w:rPr>
              <w:t>Var %</w:t>
            </w:r>
          </w:p>
        </w:tc>
        <w:tc>
          <w:tcPr>
            <w:tcW w:type="dxa" w:w="960"/>
          </w:tcPr>
          <w:p>
            <w:r>
              <w:rPr>
                <w:b/>
              </w:rPr>
              <w:t>Status</w:t>
            </w:r>
          </w:p>
        </w:tc>
        <w:tc>
          <w:tcPr>
            <w:tcW w:type="dxa" w:w="960"/>
          </w:tcPr>
          <w:p>
            <w:r>
              <w:rPr>
                <w:b/>
              </w:rPr>
              <w:t>Trend</w:t>
            </w:r>
          </w:p>
        </w:tc>
        <w:tc>
          <w:tcPr>
            <w:tcW w:type="dxa" w:w="960"/>
          </w:tcPr>
          <w:p>
            <w:r>
              <w:rPr>
                <w:b/>
              </w:rPr>
              <w:t>Claim Accuracy</w:t>
            </w:r>
          </w:p>
        </w:tc>
      </w:tr>
      <w:tr>
        <w:tc>
          <w:tcPr>
            <w:tcW w:type="dxa" w:w="960"/>
          </w:tcPr>
          <w:p>
            <w:r>
              <w:t>COM</w:t>
            </w:r>
          </w:p>
        </w:tc>
        <w:tc>
          <w:tcPr>
            <w:tcW w:type="dxa" w:w="960"/>
          </w:tcPr>
          <w:p>
            <w:r>
              <w:t>Communications &amp; Media</w:t>
            </w:r>
          </w:p>
        </w:tc>
        <w:tc>
          <w:tcPr>
            <w:tcW w:type="dxa" w:w="960"/>
          </w:tcPr>
          <w:p>
            <w:r>
              <w:t>1,200,000</w:t>
            </w:r>
          </w:p>
        </w:tc>
        <w:tc>
          <w:tcPr>
            <w:tcW w:type="dxa" w:w="960"/>
          </w:tcPr>
          <w:p>
            <w:r>
              <w:t>1,210,000</w:t>
            </w:r>
          </w:p>
        </w:tc>
        <w:tc>
          <w:tcPr>
            <w:tcW w:type="dxa" w:w="960"/>
          </w:tcPr>
          <w:p>
            <w:r>
              <w:t>+10,000</w:t>
            </w:r>
          </w:p>
        </w:tc>
        <w:tc>
          <w:tcPr>
            <w:tcW w:type="dxa" w:w="960"/>
          </w:tcPr>
          <w:p>
            <w:r>
              <w:t>+0.8%</w:t>
            </w:r>
          </w:p>
        </w:tc>
        <w:tc>
          <w:tcPr>
            <w:tcW w:type="dxa" w:w="960"/>
          </w:tcPr>
          <w:p>
            <w:r>
              <w:t>✅ ACCEPTABLE</w:t>
            </w:r>
          </w:p>
        </w:tc>
        <w:tc>
          <w:tcPr>
            <w:tcW w:type="dxa" w:w="960"/>
          </w:tcPr>
          <w:p>
            <w:r>
              <w:t>→ STABLE</w:t>
            </w:r>
          </w:p>
        </w:tc>
        <w:tc>
          <w:tcPr>
            <w:tcW w:type="dxa" w:w="960"/>
          </w:tcPr>
          <w:p>
            <w:r>
              <w:t>NO_DATA</w:t>
            </w:r>
          </w:p>
        </w:tc>
      </w:tr>
      <w:tr>
        <w:tc>
          <w:tcPr>
            <w:tcW w:type="dxa" w:w="960"/>
          </w:tcPr>
          <w:p>
            <w:r>
              <w:t>FIN</w:t>
            </w:r>
          </w:p>
        </w:tc>
        <w:tc>
          <w:tcPr>
            <w:tcW w:type="dxa" w:w="960"/>
          </w:tcPr>
          <w:p>
            <w:r>
              <w:t>Finance &amp; Procurement</w:t>
            </w:r>
          </w:p>
        </w:tc>
        <w:tc>
          <w:tcPr>
            <w:tcW w:type="dxa" w:w="960"/>
          </w:tcPr>
          <w:p>
            <w:r>
              <w:t>1,750,000</w:t>
            </w:r>
          </w:p>
        </w:tc>
        <w:tc>
          <w:tcPr>
            <w:tcW w:type="dxa" w:w="960"/>
          </w:tcPr>
          <w:p>
            <w:r>
              <w:t>1,950,000</w:t>
            </w:r>
          </w:p>
        </w:tc>
        <w:tc>
          <w:tcPr>
            <w:tcW w:type="dxa" w:w="960"/>
          </w:tcPr>
          <w:p>
            <w:r>
              <w:t>+200,000</w:t>
            </w:r>
          </w:p>
        </w:tc>
        <w:tc>
          <w:tcPr>
            <w:tcW w:type="dxa" w:w="960"/>
          </w:tcPr>
          <w:p>
            <w:r>
              <w:t>+11.4%</w:t>
            </w:r>
          </w:p>
        </w:tc>
        <w:tc>
          <w:tcPr>
            <w:tcW w:type="dxa" w:w="960"/>
          </w:tcPr>
          <w:p>
            <w:r>
              <w:t>🔶 SIGNIFICANT*</w:t>
            </w:r>
          </w:p>
        </w:tc>
        <w:tc>
          <w:tcPr>
            <w:tcW w:type="dxa" w:w="960"/>
          </w:tcPr>
          <w:p>
            <w:r>
              <w:t>↗️ WORSENING</w:t>
            </w:r>
          </w:p>
        </w:tc>
        <w:tc>
          <w:tcPr>
            <w:tcW w:type="dxa" w:w="960"/>
          </w:tcPr>
          <w:p>
            <w:r>
              <w:t>NO_DATA</w:t>
            </w:r>
          </w:p>
        </w:tc>
      </w:tr>
      <w:tr>
        <w:tc>
          <w:tcPr>
            <w:tcW w:type="dxa" w:w="960"/>
          </w:tcPr>
          <w:p>
            <w:r>
              <w:t>HR</w:t>
            </w:r>
          </w:p>
        </w:tc>
        <w:tc>
          <w:tcPr>
            <w:tcW w:type="dxa" w:w="960"/>
          </w:tcPr>
          <w:p>
            <w:r>
              <w:t>Human Resources</w:t>
            </w:r>
          </w:p>
        </w:tc>
        <w:tc>
          <w:tcPr>
            <w:tcW w:type="dxa" w:w="960"/>
          </w:tcPr>
          <w:p>
            <w:r>
              <w:t>2,750,000</w:t>
            </w:r>
          </w:p>
        </w:tc>
        <w:tc>
          <w:tcPr>
            <w:tcW w:type="dxa" w:w="960"/>
          </w:tcPr>
          <w:p>
            <w:r>
              <w:t>2,820,000</w:t>
            </w:r>
          </w:p>
        </w:tc>
        <w:tc>
          <w:tcPr>
            <w:tcW w:type="dxa" w:w="960"/>
          </w:tcPr>
          <w:p>
            <w:r>
              <w:t>+70,000</w:t>
            </w:r>
          </w:p>
        </w:tc>
        <w:tc>
          <w:tcPr>
            <w:tcW w:type="dxa" w:w="960"/>
          </w:tcPr>
          <w:p>
            <w:r>
              <w:t>+2.6%</w:t>
            </w:r>
          </w:p>
        </w:tc>
        <w:tc>
          <w:tcPr>
            <w:tcW w:type="dxa" w:w="960"/>
          </w:tcPr>
          <w:p>
            <w:r>
              <w:t>✅ ACCEPTABLE</w:t>
            </w:r>
          </w:p>
        </w:tc>
        <w:tc>
          <w:tcPr>
            <w:tcW w:type="dxa" w:w="960"/>
          </w:tcPr>
          <w:p>
            <w:r>
              <w:t>→ STABLE</w:t>
            </w:r>
          </w:p>
        </w:tc>
        <w:tc>
          <w:tcPr>
            <w:tcW w:type="dxa" w:w="960"/>
          </w:tcPr>
          <w:p>
            <w:r>
              <w:t>NO_DATA</w:t>
            </w:r>
          </w:p>
        </w:tc>
      </w:tr>
      <w:tr>
        <w:tc>
          <w:tcPr>
            <w:tcW w:type="dxa" w:w="960"/>
          </w:tcPr>
          <w:p>
            <w:r>
              <w:t>INF</w:t>
            </w:r>
          </w:p>
        </w:tc>
        <w:tc>
          <w:tcPr>
            <w:tcW w:type="dxa" w:w="960"/>
          </w:tcPr>
          <w:p>
            <w:r>
              <w:t>Infrastructure &amp; Facilities</w:t>
            </w:r>
          </w:p>
        </w:tc>
        <w:tc>
          <w:tcPr>
            <w:tcW w:type="dxa" w:w="960"/>
          </w:tcPr>
          <w:p>
            <w:r>
              <w:t>8,500,000</w:t>
            </w:r>
          </w:p>
        </w:tc>
        <w:tc>
          <w:tcPr>
            <w:tcW w:type="dxa" w:w="960"/>
          </w:tcPr>
          <w:p>
            <w:r>
              <w:t>9,120,000</w:t>
            </w:r>
          </w:p>
        </w:tc>
        <w:tc>
          <w:tcPr>
            <w:tcW w:type="dxa" w:w="960"/>
          </w:tcPr>
          <w:p>
            <w:r>
              <w:t>+620,000</w:t>
            </w:r>
          </w:p>
        </w:tc>
        <w:tc>
          <w:tcPr>
            <w:tcW w:type="dxa" w:w="960"/>
          </w:tcPr>
          <w:p>
            <w:r>
              <w:t>+7.3%</w:t>
            </w:r>
          </w:p>
        </w:tc>
        <w:tc>
          <w:tcPr>
            <w:tcW w:type="dxa" w:w="960"/>
          </w:tcPr>
          <w:p>
            <w:r>
              <w:t>⚠️ MINOR</w:t>
            </w:r>
          </w:p>
        </w:tc>
        <w:tc>
          <w:tcPr>
            <w:tcW w:type="dxa" w:w="960"/>
          </w:tcPr>
          <w:p>
            <w:r>
              <w:t>↗️ WORSENING</w:t>
            </w:r>
          </w:p>
        </w:tc>
        <w:tc>
          <w:tcPr>
            <w:tcW w:type="dxa" w:w="960"/>
          </w:tcPr>
          <w:p>
            <w:r>
              <w:t>NO_DATA</w:t>
            </w:r>
          </w:p>
        </w:tc>
      </w:tr>
      <w:tr>
        <w:tc>
          <w:tcPr>
            <w:tcW w:type="dxa" w:w="960"/>
          </w:tcPr>
          <w:p>
            <w:r>
              <w:t>IT</w:t>
            </w:r>
          </w:p>
        </w:tc>
        <w:tc>
          <w:tcPr>
            <w:tcW w:type="dxa" w:w="960"/>
          </w:tcPr>
          <w:p>
            <w:r>
              <w:t>Information Technology</w:t>
            </w:r>
          </w:p>
        </w:tc>
        <w:tc>
          <w:tcPr>
            <w:tcW w:type="dxa" w:w="960"/>
          </w:tcPr>
          <w:p>
            <w:r>
              <w:t>4,200,000</w:t>
            </w:r>
          </w:p>
        </w:tc>
        <w:tc>
          <w:tcPr>
            <w:tcW w:type="dxa" w:w="960"/>
          </w:tcPr>
          <w:p>
            <w:r>
              <w:t>4,390,000</w:t>
            </w:r>
          </w:p>
        </w:tc>
        <w:tc>
          <w:tcPr>
            <w:tcW w:type="dxa" w:w="960"/>
          </w:tcPr>
          <w:p>
            <w:r>
              <w:t>+190,000</w:t>
            </w:r>
          </w:p>
        </w:tc>
        <w:tc>
          <w:tcPr>
            <w:tcW w:type="dxa" w:w="960"/>
          </w:tcPr>
          <w:p>
            <w:r>
              <w:t>+4.5%</w:t>
            </w:r>
          </w:p>
        </w:tc>
        <w:tc>
          <w:tcPr>
            <w:tcW w:type="dxa" w:w="960"/>
          </w:tcPr>
          <w:p>
            <w:r>
              <w:t>✅ ACCEPTABLE</w:t>
            </w:r>
          </w:p>
        </w:tc>
        <w:tc>
          <w:tcPr>
            <w:tcW w:type="dxa" w:w="960"/>
          </w:tcPr>
          <w:p>
            <w:r>
              <w:t>→ STABLE</w:t>
            </w:r>
          </w:p>
        </w:tc>
        <w:tc>
          <w:tcPr>
            <w:tcW w:type="dxa" w:w="960"/>
          </w:tcPr>
          <w:p>
            <w:r>
              <w:t>NO_DATA</w:t>
            </w:r>
          </w:p>
        </w:tc>
      </w:tr>
      <w:tr>
        <w:tc>
          <w:tcPr>
            <w:tcW w:type="dxa" w:w="960"/>
          </w:tcPr>
          <w:p>
            <w:r>
              <w:t>POL</w:t>
            </w:r>
          </w:p>
        </w:tc>
        <w:tc>
          <w:tcPr>
            <w:tcW w:type="dxa" w:w="960"/>
          </w:tcPr>
          <w:p>
            <w:r>
              <w:t>Policy &amp; Research</w:t>
            </w:r>
          </w:p>
        </w:tc>
        <w:tc>
          <w:tcPr>
            <w:tcW w:type="dxa" w:w="960"/>
          </w:tcPr>
          <w:p>
            <w:r>
              <w:t>950,000</w:t>
            </w:r>
          </w:p>
        </w:tc>
        <w:tc>
          <w:tcPr>
            <w:tcW w:type="dxa" w:w="960"/>
          </w:tcPr>
          <w:p>
            <w:r>
              <w:t>930,000</w:t>
            </w:r>
          </w:p>
        </w:tc>
        <w:tc>
          <w:tcPr>
            <w:tcW w:type="dxa" w:w="960"/>
          </w:tcPr>
          <w:p>
            <w:r>
              <w:t>–20,000</w:t>
            </w:r>
          </w:p>
        </w:tc>
        <w:tc>
          <w:tcPr>
            <w:tcW w:type="dxa" w:w="960"/>
          </w:tcPr>
          <w:p>
            <w:r>
              <w:t>–2.1%</w:t>
            </w:r>
          </w:p>
        </w:tc>
        <w:tc>
          <w:tcPr>
            <w:tcW w:type="dxa" w:w="960"/>
          </w:tcPr>
          <w:p>
            <w:r>
              <w:t>✅ ACCEPTABLE</w:t>
            </w:r>
          </w:p>
        </w:tc>
        <w:tc>
          <w:tcPr>
            <w:tcW w:type="dxa" w:w="960"/>
          </w:tcPr>
          <w:p>
            <w:r>
              <w:t>→ STABLE</w:t>
            </w:r>
          </w:p>
        </w:tc>
        <w:tc>
          <w:tcPr>
            <w:tcW w:type="dxa" w:w="960"/>
          </w:tcPr>
          <w:p>
            <w:r>
              <w:t>NO_DATA</w:t>
            </w:r>
          </w:p>
        </w:tc>
      </w:tr>
    </w:tbl>
    <w:p>
      <w:r>
        <w:t>Status Legend:</w:t>
      </w:r>
    </w:p>
    <w:p>
      <w:r>
        <w:t>✅ ACCEPTABLE (&lt;5%) · ⚠️ MINOR (5–10%) · 🔶 SIGNIFICANT (10–25%, CFO) · 🚨 CRITICAL (&gt;25%, Board) · 🔵 UNDERSPEND (&lt; -15%)</w:t>
      </w:r>
    </w:p>
    <w:p>
      <w:r>
        <w:t>*Classification note for FIN: by percentage (11.43%) FIN meets the SIGNIFICANT band (CFO review). Agent 3 indicates the organisation applies an AED minimum variance threshold (min_variance_aed = AED 500,000) such that FIN is formally recorded as MINOR in the reconciliation. We recommend discretionary CFO review given the percent-based signal and worsening trend (details below).</w:t>
      </w:r>
    </w:p>
    <w:p>
      <w:r>
        <w:t>────────────────────────────────────────────────────────────</w:t>
      </w:r>
    </w:p>
    <w:p>
      <w:pPr>
        <w:pStyle w:val="Heading2"/>
      </w:pPr>
      <w:r>
        <w:t>🌍 Economic Context &amp; Claim Validation</w:t>
      </w:r>
    </w:p>
    <w:p>
      <w:pPr>
        <w:pStyle w:val="ListBullet"/>
      </w:pPr>
      <w:r>
        <w:t>Agent 2 (economic validation) and Agent 1 (department narratives) were not provided for this cycle. Therefore external economic validation and department-submitted justifications could not be incorporated into the reconciliation. This produces a material information gap: we cannot independently confirm whether variances are driven by sector factors (inflation, weather, incidents) or internal decisions.</w:t>
      </w:r>
    </w:p>
    <w:p>
      <w:pPr>
        <w:pStyle w:val="ListBullet"/>
      </w:pPr>
      <w:r>
        <w:t>Implication: Where departments show rising variances (FIN, INF), the absence of narratives prevents a full 3‑way reconciliation (claimed vs official vs external context). Recommendations below call for immediate submission of department narratives and any supporting documents (incident reports, contracts, procurement exceptions, vendor invoices or change orders).</w:t>
      </w:r>
    </w:p>
    <w:p>
      <w:r>
        <w:t>────────────────────────────────────────────────────────────</w:t>
      </w:r>
    </w:p>
    <w:p>
      <w:pPr>
        <w:pStyle w:val="Heading2"/>
      </w:pPr>
      <w:r>
        <w:t>🔍 Detailed Department Analysis</w:t>
      </w:r>
    </w:p>
    <w:p>
      <w:r>
        <w:t>Per reporting rules, detailed sections are provided for SIGNIFICANT or CRITICAL variances. Given the percent-based signal for Finance &amp; Procurement, the Finance department is profiled below (see classification caveat above). No CRITICAL departments identified.</w:t>
      </w:r>
    </w:p>
    <w:p>
      <w:pPr>
        <w:pStyle w:val="Heading3"/>
      </w:pPr>
      <w:r>
        <w:t>🔶 Finance &amp; Procurement — SIGNIFICANT (Policy-classified as MINOR due to AED-minimum threshold)</w:t>
      </w:r>
    </w:p>
    <w:p>
      <w:r>
        <w:rPr>
          <w:b/>
        </w:rPr>
        <w:t>Variance Overview</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Approved Budget</w:t>
            </w:r>
          </w:p>
        </w:tc>
        <w:tc>
          <w:tcPr>
            <w:tcW w:type="dxa" w:w="4320"/>
          </w:tcPr>
          <w:p>
            <w:r>
              <w:t>AED 1,750,000</w:t>
            </w:r>
          </w:p>
        </w:tc>
      </w:tr>
      <w:tr>
        <w:tc>
          <w:tcPr>
            <w:tcW w:type="dxa" w:w="4320"/>
          </w:tcPr>
          <w:p>
            <w:r>
              <w:t>Actual Spend</w:t>
            </w:r>
          </w:p>
        </w:tc>
        <w:tc>
          <w:tcPr>
            <w:tcW w:type="dxa" w:w="4320"/>
          </w:tcPr>
          <w:p>
            <w:r>
              <w:t>AED 1,950,000</w:t>
            </w:r>
          </w:p>
        </w:tc>
      </w:tr>
      <w:tr>
        <w:tc>
          <w:tcPr>
            <w:tcW w:type="dxa" w:w="4320"/>
          </w:tcPr>
          <w:p>
            <w:r>
              <w:t>Variance</w:t>
            </w:r>
          </w:p>
        </w:tc>
        <w:tc>
          <w:tcPr>
            <w:tcW w:type="dxa" w:w="4320"/>
          </w:tcPr>
          <w:p>
            <w:r>
              <w:t>+AED 200,000 (+11.43%)</w:t>
            </w:r>
          </w:p>
        </w:tc>
      </w:tr>
      <w:tr>
        <w:tc>
          <w:tcPr>
            <w:tcW w:type="dxa" w:w="4320"/>
          </w:tcPr>
          <w:p>
            <w:r>
              <w:t>Policy Status (reconciliation)</w:t>
            </w:r>
          </w:p>
        </w:tc>
        <w:tc>
          <w:tcPr>
            <w:tcW w:type="dxa" w:w="4320"/>
          </w:tcPr>
          <w:p>
            <w:r>
              <w:t>⚠️ MINOR (per Agent 3, due to AED minimum threshold)</w:t>
            </w:r>
          </w:p>
        </w:tc>
      </w:tr>
      <w:tr>
        <w:tc>
          <w:tcPr>
            <w:tcW w:type="dxa" w:w="4320"/>
          </w:tcPr>
          <w:p>
            <w:r>
              <w:t>Percent-based Band</w:t>
            </w:r>
          </w:p>
        </w:tc>
        <w:tc>
          <w:tcPr>
            <w:tcW w:type="dxa" w:w="4320"/>
          </w:tcPr>
          <w:p>
            <w:r>
              <w:t>🔶 SIGNIFICANT (10–25%) by percent rule</w:t>
            </w:r>
          </w:p>
        </w:tc>
      </w:tr>
      <w:tr>
        <w:tc>
          <w:tcPr>
            <w:tcW w:type="dxa" w:w="4320"/>
          </w:tcPr>
          <w:p>
            <w:r>
              <w:t>Historical Trend</w:t>
            </w:r>
          </w:p>
        </w:tc>
        <w:tc>
          <w:tcPr>
            <w:tcW w:type="dxa" w:w="4320"/>
          </w:tcPr>
          <w:p>
            <w:r>
              <w:t>↗️ WORSENING (Q4 2025 vs 4‑quarter avg: +5.74pp)</w:t>
            </w:r>
          </w:p>
        </w:tc>
      </w:tr>
    </w:tbl>
    <w:p>
      <w:r>
        <w:rPr>
          <w:b/>
        </w:rPr>
        <w:t>Department Claims vs Official Data</w:t>
      </w:r>
    </w:p>
    <w:p>
      <w:pPr>
        <w:pStyle w:val="ListBullet"/>
      </w:pPr>
      <w:r>
        <w:t>No departmental narrative or claimed figures were provided (Agent 1 missing). Claim accuracy: NO_DATA.</w:t>
      </w:r>
    </w:p>
    <w:p>
      <w:r>
        <w:rPr>
          <w:b/>
        </w:rPr>
        <w:t>Justifications Submitted</w:t>
      </w:r>
    </w:p>
    <w:p>
      <w:pPr>
        <w:pStyle w:val="ListBullet"/>
      </w:pPr>
      <w:r>
        <w:t>None available. Credibility of any unsubmitted claims is UNKNOWN.</w:t>
      </w:r>
    </w:p>
    <w:p>
      <w:r>
        <w:rPr>
          <w:b/>
        </w:rPr>
        <w:t>Policy &amp; Threshold Notes</w:t>
      </w:r>
    </w:p>
    <w:p>
      <w:pPr>
        <w:pStyle w:val="ListBullet"/>
      </w:pPr>
      <w:r>
        <w:t>Organisation policy appears to apply both percentage bands and a minimum AED threshold (Agent 3 recommendation). FIN’s percent variance (11.43%) indicates CFO-level attention, but its AED magnitude (AED 200k) is below the stated AED 500k "significant" floor in policy interpretation used by the reconciliation engine.</w:t>
      </w:r>
    </w:p>
    <w:p>
      <w:r>
        <w:rPr>
          <w:b/>
        </w:rPr>
        <w:t>Required Actions (current policy &amp; recommended)</w:t>
      </w:r>
    </w:p>
    <w:p>
      <w:pPr>
        <w:pStyle w:val="ListBullet"/>
      </w:pPr>
      <w:r>
        <w:t>Policy-required: Department head must provide written justification within 10 business days (per Agent 3).</w:t>
      </w:r>
    </w:p>
    <w:p>
      <w:pPr>
        <w:pStyle w:val="ListBullet"/>
      </w:pPr>
      <w:r>
        <w:t>Recommended (CFO / Finance Committee):</w:t>
      </w:r>
    </w:p>
    <w:p>
      <w:pPr>
        <w:pStyle w:val="ListBullet"/>
      </w:pPr>
      <w:r>
        <w:t>Require the written justification and supporting documentation within 5 business days.</w:t>
      </w:r>
    </w:p>
    <w:p>
      <w:pPr>
        <w:pStyle w:val="ListBullet"/>
      </w:pPr>
      <w:r>
        <w:t>CFO to perform discretionary review to determine whether a formal approval, intra-year reallocation, or budget amendment recommendation is required.</w:t>
      </w:r>
    </w:p>
    <w:p>
      <w:r>
        <w:rPr>
          <w:b/>
        </w:rPr>
        <w:t>Remediation Plan</w:t>
      </w:r>
    </w:p>
    <w:p>
      <w:pPr>
        <w:pStyle w:val="ListBullet"/>
      </w:pPr>
      <w:r>
        <w:t>No remediation plan submitted. Recommend a remedial plan from department to include:</w:t>
      </w:r>
    </w:p>
    <w:p>
      <w:pPr>
        <w:pStyle w:val="ListBullet"/>
      </w:pPr>
      <w:r>
        <w:t>Identification of overspend drivers (procurement timing, one-off payments, vendor settlements)</w:t>
      </w:r>
    </w:p>
    <w:p>
      <w:pPr>
        <w:pStyle w:val="ListBullet"/>
      </w:pPr>
      <w:r>
        <w:t>Opportunity to re-phase discretionary spend or pause non-essential procurement</w:t>
      </w:r>
    </w:p>
    <w:p>
      <w:pPr>
        <w:pStyle w:val="ListBullet"/>
      </w:pPr>
      <w:r>
        <w:t>Forecasted Q2 impact and tight weekly cash monitoring until variance is contained</w:t>
      </w:r>
    </w:p>
    <w:p>
      <w:r>
        <w:t>Audit Risk: Medium — no indications of misconduct, but absent documentation increases procedural risk.</w:t>
      </w:r>
    </w:p>
    <w:p>
      <w:r>
        <w:t>────────────────────────────────────────────────────────────</w:t>
      </w:r>
    </w:p>
    <w:p>
      <w:r>
        <w:t>(There are no CRITICAL departments to profile this period. INF is MINOR but showing a worsening trend and is subject to department-head review — summary actions are in the Required Actions table below.)</w:t>
      </w:r>
    </w:p>
    <w:p>
      <w:r>
        <w:t>────────────────────────────────────────────────────────────</w:t>
      </w:r>
    </w:p>
    <w:p>
      <w:pPr>
        <w:pStyle w:val="Heading2"/>
      </w:pPr>
      <w:r>
        <w:t>⚠️ Required Actions &amp; Compliance Timeline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Dept</w:t>
            </w:r>
          </w:p>
        </w:tc>
        <w:tc>
          <w:tcPr>
            <w:tcW w:type="dxa" w:w="1234"/>
          </w:tcPr>
          <w:p>
            <w:r>
              <w:rPr>
                <w:b/>
              </w:rPr>
              <w:t>Var %</w:t>
            </w:r>
          </w:p>
        </w:tc>
        <w:tc>
          <w:tcPr>
            <w:tcW w:type="dxa" w:w="1234"/>
          </w:tcPr>
          <w:p>
            <w:r>
              <w:rPr>
                <w:b/>
              </w:rPr>
              <w:t>Status</w:t>
            </w:r>
          </w:p>
        </w:tc>
        <w:tc>
          <w:tcPr>
            <w:tcW w:type="dxa" w:w="1234"/>
          </w:tcPr>
          <w:p>
            <w:r>
              <w:rPr>
                <w:b/>
              </w:rPr>
              <w:t>Required Action</w:t>
            </w:r>
          </w:p>
        </w:tc>
        <w:tc>
          <w:tcPr>
            <w:tcW w:type="dxa" w:w="1234"/>
          </w:tcPr>
          <w:p>
            <w:r>
              <w:rPr>
                <w:b/>
              </w:rPr>
              <w:t>Authority</w:t>
            </w:r>
          </w:p>
        </w:tc>
        <w:tc>
          <w:tcPr>
            <w:tcW w:type="dxa" w:w="1234"/>
          </w:tcPr>
          <w:p>
            <w:r>
              <w:rPr>
                <w:b/>
              </w:rPr>
              <w:t>Deadline</w:t>
            </w:r>
          </w:p>
        </w:tc>
        <w:tc>
          <w:tcPr>
            <w:tcW w:type="dxa" w:w="1234"/>
          </w:tcPr>
          <w:p>
            <w:r>
              <w:rPr>
                <w:b/>
              </w:rPr>
              <w:t>Current Status</w:t>
            </w:r>
          </w:p>
        </w:tc>
      </w:tr>
      <w:tr>
        <w:tc>
          <w:tcPr>
            <w:tcW w:type="dxa" w:w="1234"/>
          </w:tcPr>
          <w:p>
            <w:r>
              <w:t>FIN</w:t>
            </w:r>
          </w:p>
        </w:tc>
        <w:tc>
          <w:tcPr>
            <w:tcW w:type="dxa" w:w="1234"/>
          </w:tcPr>
          <w:p>
            <w:r>
              <w:t>+11.43%</w:t>
            </w:r>
          </w:p>
        </w:tc>
        <w:tc>
          <w:tcPr>
            <w:tcW w:type="dxa" w:w="1234"/>
          </w:tcPr>
          <w:p>
            <w:r>
              <w:t>🔶 SIGNIFICANT*</w:t>
            </w:r>
          </w:p>
        </w:tc>
        <w:tc>
          <w:tcPr>
            <w:tcW w:type="dxa" w:w="1234"/>
          </w:tcPr>
          <w:p>
            <w:r>
              <w:t>Written justification + supporting docs</w:t>
            </w:r>
          </w:p>
        </w:tc>
        <w:tc>
          <w:tcPr>
            <w:tcW w:type="dxa" w:w="1234"/>
          </w:tcPr>
          <w:p>
            <w:r>
              <w:t>Dept Head → CFO</w:t>
            </w:r>
          </w:p>
        </w:tc>
        <w:tc>
          <w:tcPr>
            <w:tcW w:type="dxa" w:w="1234"/>
          </w:tcPr>
          <w:p>
            <w:r>
              <w:t>10 business days (recommended 5 bd for CFO review)</w:t>
            </w:r>
          </w:p>
        </w:tc>
        <w:tc>
          <w:tcPr>
            <w:tcW w:type="dxa" w:w="1234"/>
          </w:tcPr>
          <w:p>
            <w:r>
              <w:t>⏳ Pending</w:t>
            </w:r>
          </w:p>
        </w:tc>
      </w:tr>
      <w:tr>
        <w:tc>
          <w:tcPr>
            <w:tcW w:type="dxa" w:w="1234"/>
          </w:tcPr>
          <w:p>
            <w:r>
              <w:t>INF</w:t>
            </w:r>
          </w:p>
        </w:tc>
        <w:tc>
          <w:tcPr>
            <w:tcW w:type="dxa" w:w="1234"/>
          </w:tcPr>
          <w:p>
            <w:r>
              <w:t>+7.29%</w:t>
            </w:r>
          </w:p>
        </w:tc>
        <w:tc>
          <w:tcPr>
            <w:tcW w:type="dxa" w:w="1234"/>
          </w:tcPr>
          <w:p>
            <w:r>
              <w:t>⚠️ MINOR</w:t>
            </w:r>
          </w:p>
        </w:tc>
        <w:tc>
          <w:tcPr>
            <w:tcW w:type="dxa" w:w="1234"/>
          </w:tcPr>
          <w:p>
            <w:r>
              <w:t>Written justification</w:t>
            </w:r>
          </w:p>
        </w:tc>
        <w:tc>
          <w:tcPr>
            <w:tcW w:type="dxa" w:w="1234"/>
          </w:tcPr>
          <w:p>
            <w:r>
              <w:t>Dept Head</w:t>
            </w:r>
          </w:p>
        </w:tc>
        <w:tc>
          <w:tcPr>
            <w:tcW w:type="dxa" w:w="1234"/>
          </w:tcPr>
          <w:p>
            <w:r>
              <w:t>10 business days</w:t>
            </w:r>
          </w:p>
        </w:tc>
        <w:tc>
          <w:tcPr>
            <w:tcW w:type="dxa" w:w="1234"/>
          </w:tcPr>
          <w:p>
            <w:r>
              <w:t>⏳ Pending</w:t>
            </w:r>
          </w:p>
        </w:tc>
      </w:tr>
      <w:tr>
        <w:tc>
          <w:tcPr>
            <w:tcW w:type="dxa" w:w="1234"/>
          </w:tcPr>
          <w:p>
            <w:r>
              <w:t>IT</w:t>
            </w:r>
          </w:p>
        </w:tc>
        <w:tc>
          <w:tcPr>
            <w:tcW w:type="dxa" w:w="1234"/>
          </w:tcPr>
          <w:p>
            <w:r>
              <w:t>+4.52%</w:t>
            </w:r>
          </w:p>
        </w:tc>
        <w:tc>
          <w:tcPr>
            <w:tcW w:type="dxa" w:w="1234"/>
          </w:tcPr>
          <w:p>
            <w:r>
              <w:t>✅ ACCEPTABLE</w:t>
            </w:r>
          </w:p>
        </w:tc>
        <w:tc>
          <w:tcPr>
            <w:tcW w:type="dxa" w:w="1234"/>
          </w:tcPr>
          <w:p>
            <w:r>
              <w:t>Record in quarterly report</w:t>
            </w:r>
          </w:p>
        </w:tc>
        <w:tc>
          <w:tcPr>
            <w:tcW w:type="dxa" w:w="1234"/>
          </w:tcPr>
          <w:p>
            <w:r>
              <w:t>—</w:t>
            </w:r>
          </w:p>
        </w:tc>
        <w:tc>
          <w:tcPr>
            <w:tcW w:type="dxa" w:w="1234"/>
          </w:tcPr>
          <w:p>
            <w:r>
              <w:t>N/A</w:t>
            </w:r>
          </w:p>
        </w:tc>
        <w:tc>
          <w:tcPr>
            <w:tcW w:type="dxa" w:w="1234"/>
          </w:tcPr>
          <w:p>
            <w:r>
              <w:t>✅ Recorded</w:t>
            </w:r>
          </w:p>
        </w:tc>
      </w:tr>
      <w:tr>
        <w:tc>
          <w:tcPr>
            <w:tcW w:type="dxa" w:w="1234"/>
          </w:tcPr>
          <w:p>
            <w:r>
              <w:t>COM</w:t>
            </w:r>
          </w:p>
        </w:tc>
        <w:tc>
          <w:tcPr>
            <w:tcW w:type="dxa" w:w="1234"/>
          </w:tcPr>
          <w:p>
            <w:r>
              <w:t>+0.83%</w:t>
            </w:r>
          </w:p>
        </w:tc>
        <w:tc>
          <w:tcPr>
            <w:tcW w:type="dxa" w:w="1234"/>
          </w:tcPr>
          <w:p>
            <w:r>
              <w:t>✅ ACCEPTABLE</w:t>
            </w:r>
          </w:p>
        </w:tc>
        <w:tc>
          <w:tcPr>
            <w:tcW w:type="dxa" w:w="1234"/>
          </w:tcPr>
          <w:p>
            <w:r>
              <w:t>Record in quarterly report</w:t>
            </w:r>
          </w:p>
        </w:tc>
        <w:tc>
          <w:tcPr>
            <w:tcW w:type="dxa" w:w="1234"/>
          </w:tcPr>
          <w:p>
            <w:r>
              <w:t>—</w:t>
            </w:r>
          </w:p>
        </w:tc>
        <w:tc>
          <w:tcPr>
            <w:tcW w:type="dxa" w:w="1234"/>
          </w:tcPr>
          <w:p>
            <w:r>
              <w:t>N/A</w:t>
            </w:r>
          </w:p>
        </w:tc>
        <w:tc>
          <w:tcPr>
            <w:tcW w:type="dxa" w:w="1234"/>
          </w:tcPr>
          <w:p>
            <w:r>
              <w:t>✅ Recorded</w:t>
            </w:r>
          </w:p>
        </w:tc>
      </w:tr>
      <w:tr>
        <w:tc>
          <w:tcPr>
            <w:tcW w:type="dxa" w:w="1234"/>
          </w:tcPr>
          <w:p>
            <w:r>
              <w:t>HR</w:t>
            </w:r>
          </w:p>
        </w:tc>
        <w:tc>
          <w:tcPr>
            <w:tcW w:type="dxa" w:w="1234"/>
          </w:tcPr>
          <w:p>
            <w:r>
              <w:t>+2.55%</w:t>
            </w:r>
          </w:p>
        </w:tc>
        <w:tc>
          <w:tcPr>
            <w:tcW w:type="dxa" w:w="1234"/>
          </w:tcPr>
          <w:p>
            <w:r>
              <w:t>✅ ACCEPTABLE</w:t>
            </w:r>
          </w:p>
        </w:tc>
        <w:tc>
          <w:tcPr>
            <w:tcW w:type="dxa" w:w="1234"/>
          </w:tcPr>
          <w:p>
            <w:r>
              <w:t>Record in quarterly report</w:t>
            </w:r>
          </w:p>
        </w:tc>
        <w:tc>
          <w:tcPr>
            <w:tcW w:type="dxa" w:w="1234"/>
          </w:tcPr>
          <w:p>
            <w:r>
              <w:t>—</w:t>
            </w:r>
          </w:p>
        </w:tc>
        <w:tc>
          <w:tcPr>
            <w:tcW w:type="dxa" w:w="1234"/>
          </w:tcPr>
          <w:p>
            <w:r>
              <w:t>N/A</w:t>
            </w:r>
          </w:p>
        </w:tc>
        <w:tc>
          <w:tcPr>
            <w:tcW w:type="dxa" w:w="1234"/>
          </w:tcPr>
          <w:p>
            <w:r>
              <w:t>✅ Recorded</w:t>
            </w:r>
          </w:p>
        </w:tc>
      </w:tr>
      <w:tr>
        <w:tc>
          <w:tcPr>
            <w:tcW w:type="dxa" w:w="1234"/>
          </w:tcPr>
          <w:p>
            <w:r>
              <w:t>POL</w:t>
            </w:r>
          </w:p>
        </w:tc>
        <w:tc>
          <w:tcPr>
            <w:tcW w:type="dxa" w:w="1234"/>
          </w:tcPr>
          <w:p>
            <w:r>
              <w:t>–2.11%</w:t>
            </w:r>
          </w:p>
        </w:tc>
        <w:tc>
          <w:tcPr>
            <w:tcW w:type="dxa" w:w="1234"/>
          </w:tcPr>
          <w:p>
            <w:r>
              <w:t>✅ ACCEPTABLE</w:t>
            </w:r>
          </w:p>
        </w:tc>
        <w:tc>
          <w:tcPr>
            <w:tcW w:type="dxa" w:w="1234"/>
          </w:tcPr>
          <w:p>
            <w:r>
              <w:t>Record in quarterly report</w:t>
            </w:r>
          </w:p>
        </w:tc>
        <w:tc>
          <w:tcPr>
            <w:tcW w:type="dxa" w:w="1234"/>
          </w:tcPr>
          <w:p>
            <w:r>
              <w:t>—</w:t>
            </w:r>
          </w:p>
        </w:tc>
        <w:tc>
          <w:tcPr>
            <w:tcW w:type="dxa" w:w="1234"/>
          </w:tcPr>
          <w:p>
            <w:r>
              <w:t>N/A</w:t>
            </w:r>
          </w:p>
        </w:tc>
        <w:tc>
          <w:tcPr>
            <w:tcW w:type="dxa" w:w="1234"/>
          </w:tcPr>
          <w:p>
            <w:r>
              <w:t>✅ Recorded</w:t>
            </w:r>
          </w:p>
        </w:tc>
      </w:tr>
    </w:tbl>
    <w:p>
      <w:r>
        <w:t>*Policy footnote: By percent, FIN is SIGNIFICANT (CFO review). Agent 3’s applied policy uses an AED minimum for formal escalation; reconcile policy interpretation with CFO.</w:t>
      </w:r>
    </w:p>
    <w:p>
      <w:r>
        <w:t>────────────────────────────────────────────────────────────</w:t>
      </w:r>
    </w:p>
    <w:p>
      <w:pPr>
        <w:pStyle w:val="Heading2"/>
      </w:pPr>
      <w:r>
        <w:t>📈 Historical Trend Analysis</w:t>
      </w:r>
    </w:p>
    <w:p>
      <w:r>
        <w:t>Q4 2025 vs. Last 4-Quarter Averages (per Agent 3)</w:t>
      </w:r>
    </w:p>
    <w:p>
      <w:pPr>
        <w:pStyle w:val="ListBullet"/>
      </w:pPr>
      <w:r>
        <w:t>FIN: Q4 2025 variance +11.43% vs 4‑quarter avg +5.69% — ↗️ WORSENING by 5.74pp</w:t>
      </w:r>
    </w:p>
    <w:p>
      <w:pPr>
        <w:pStyle w:val="ListBullet"/>
      </w:pPr>
      <w:r>
        <w:t>INF: Q4 2025 variance +7.29% vs 4‑quarter avg +1.83% — ↗️ WORSENING by 5.47pp</w:t>
      </w:r>
    </w:p>
    <w:p>
      <w:pPr>
        <w:pStyle w:val="ListBullet"/>
      </w:pPr>
      <w:r>
        <w:t>IT: Q4 2025 variance +4.52% vs 4‑quarter avg +0.83% — → STABLE / small uptick</w:t>
      </w:r>
    </w:p>
    <w:p>
      <w:r>
        <w:t>Overall Assessment:</w:t>
      </w:r>
    </w:p>
    <w:p>
      <w:pPr>
        <w:pStyle w:val="ListBullet"/>
      </w:pPr>
      <w:r>
        <w:t>The organisation shows a modest overall variance (5.5%) driven by several smaller overspends rather than a single large event. FIN and INF trends show consistent upward movement versus recent averages — this could indicate emerging pressure lines (procurement timing, facilities costs). Without department narratives and Q1 2026 actuals, it is not possible to determine if this is a persistent trend or a quarter-specific timing issue.</w:t>
      </w:r>
    </w:p>
    <w:p>
      <w:r>
        <w:t>────────────────────────────────────────────────────────────</w:t>
      </w:r>
    </w:p>
    <w:p>
      <w:pPr>
        <w:pStyle w:val="Heading2"/>
      </w:pPr>
      <w:r>
        <w:t>🎯 Policy &amp; Regulatory Compliance Assessment</w:t>
      </w:r>
    </w:p>
    <w:p>
      <w:pPr>
        <w:pStyle w:val="ListBullet"/>
      </w:pPr>
      <w:r>
        <w:t>Reporting timeliness: UNKNOWN — department narrative submissions are missing; cannot verify compliance with narrative timelines.</w:t>
      </w:r>
    </w:p>
    <w:p>
      <w:pPr>
        <w:pStyle w:val="ListBullet"/>
      </w:pPr>
      <w:r>
        <w:t>Board Notification: NOT APPLICABLE this cycle (no CRITICAL &gt;25% overspends).</w:t>
      </w:r>
    </w:p>
    <w:p>
      <w:pPr>
        <w:pStyle w:val="ListBullet"/>
      </w:pPr>
      <w:r>
        <w:t>CFO Approval: Under strict policy interpretation requiring an AED minimum (AED 500,000) for a variance to be treated as SIGNIFICANT, no CFO approval is currently triggered. However, percent-based rules would flag FIN (11.43%) for CFO attention — recommended discretionary CFO review.</w:t>
      </w:r>
    </w:p>
    <w:p>
      <w:pPr>
        <w:pStyle w:val="ListBullet"/>
      </w:pPr>
      <w:r>
        <w:t>Emergency spending / exceptions: No emergency spending records were provided; no emergency approvals recorded.</w:t>
      </w:r>
    </w:p>
    <w:p>
      <w:r>
        <w:t>Regulatory risks:</w:t>
      </w:r>
    </w:p>
    <w:p>
      <w:pPr>
        <w:pStyle w:val="ListBullet"/>
      </w:pPr>
      <w:r>
        <w:t>Procedural risk from missing department narratives and missing economic validation inputs — this reduces audit defensibility for variances and weakens stewardship evidence.</w:t>
      </w:r>
    </w:p>
    <w:p>
      <w:pPr>
        <w:pStyle w:val="ListBullet"/>
      </w:pPr>
      <w:r>
        <w:t>If underlying drivers for INF overspend relate to statutory maintenance or safety (e.g., emergency repairs), those should be documented immediately to avoid governance escalations.</w:t>
      </w:r>
    </w:p>
    <w:p>
      <w:r>
        <w:t>────────────────────────────────────────────────────────────</w:t>
      </w:r>
    </w:p>
    <w:p>
      <w:pPr>
        <w:pStyle w:val="Heading2"/>
      </w:pPr>
      <w:r>
        <w:t>💡 Recommendations</w:t>
      </w:r>
    </w:p>
    <w:p>
      <w:pPr>
        <w:pStyle w:val="ListNumber"/>
      </w:pPr>
      <w:r>
        <w:t>Require immediate submission of missing materials (priority within 5 business days):</w:t>
      </w:r>
    </w:p>
    <w:p>
      <w:pPr>
        <w:pStyle w:val="ListBullet"/>
      </w:pPr>
      <w:r>
        <w:t>Department narratives for FIN and INF explaining drivers and supporting documents (contracts, change orders, incident reports).</w:t>
      </w:r>
    </w:p>
    <w:p>
      <w:pPr>
        <w:pStyle w:val="ListBullet"/>
      </w:pPr>
      <w:r>
        <w:t>Any external economic validation (price indices, weather reports, sector alerts) supporting facility or procurement cost drivers.</w:t>
      </w:r>
    </w:p>
    <w:p>
      <w:pPr>
        <w:pStyle w:val="ListNumber"/>
      </w:pPr>
      <w:r>
        <w:t>CFO discretionary review for FIN:</w:t>
      </w:r>
    </w:p>
    <w:p>
      <w:pPr>
        <w:pStyle w:val="ListBullet"/>
      </w:pPr>
      <w:r>
        <w:t>Although Agent 3 records FIN as MINOR under AED-minimum policy, the percent-based SIGnIFICANT signal (11.4%) and worsening trend justify CFO attention. CFO to decide whether to approve, reallocate, or require budget amendment.</w:t>
      </w:r>
    </w:p>
    <w:p>
      <w:pPr>
        <w:pStyle w:val="ListNumber"/>
      </w:pPr>
      <w:r>
        <w:t>INF actions:</w:t>
      </w:r>
    </w:p>
    <w:p>
      <w:pPr>
        <w:pStyle w:val="ListBullet"/>
      </w:pPr>
      <w:r>
        <w:t>Department head to deliver justification within 10 business days.</w:t>
      </w:r>
    </w:p>
    <w:p>
      <w:pPr>
        <w:pStyle w:val="ListBullet"/>
      </w:pPr>
      <w:r>
        <w:t>Commission a cooling/energy-efficiency options review if portion of overspend is utilities-related (if applicable).</w:t>
      </w:r>
    </w:p>
    <w:p>
      <w:pPr>
        <w:pStyle w:val="ListBullet"/>
      </w:pPr>
      <w:r>
        <w:t>Review vendor contract terms and emergency repair process to identify one-off vs recurring drivers.</w:t>
      </w:r>
    </w:p>
    <w:p>
      <w:pPr>
        <w:pStyle w:val="ListNumber"/>
      </w:pPr>
      <w:r>
        <w:t>Operational controls:</w:t>
      </w:r>
    </w:p>
    <w:p>
      <w:pPr>
        <w:pStyle w:val="ListBullet"/>
      </w:pPr>
      <w:r>
        <w:t>Implement weekly monitoring of high-volatility cost centers (INF, FIN) until Q2 close.</w:t>
      </w:r>
    </w:p>
    <w:p>
      <w:pPr>
        <w:pStyle w:val="ListBullet"/>
      </w:pPr>
      <w:r>
        <w:t>Require monthly variance reporting from departments with month-to-date tracking vs approved budgets.</w:t>
      </w:r>
    </w:p>
    <w:p>
      <w:pPr>
        <w:pStyle w:val="ListNumber"/>
      </w:pPr>
      <w:r>
        <w:t>Budget planning:</w:t>
      </w:r>
    </w:p>
    <w:p>
      <w:pPr>
        <w:pStyle w:val="ListBullet"/>
      </w:pPr>
      <w:r>
        <w:t>For FY2027 planning, incorporate contingency buffers for facilities and procurement timing (suggest +5–10% where volatility noted).</w:t>
      </w:r>
    </w:p>
    <w:p>
      <w:pPr>
        <w:pStyle w:val="ListBullet"/>
      </w:pPr>
      <w:r>
        <w:t>Consider adding a formal policy clarification: whether percent bands alone trigger escalation or require both percent and AED minimum; update variance policy accordingly.</w:t>
      </w:r>
    </w:p>
    <w:p>
      <w:pPr>
        <w:pStyle w:val="ListNumber"/>
      </w:pPr>
      <w:r>
        <w:t>Data &amp; process fixes:</w:t>
      </w:r>
    </w:p>
    <w:p>
      <w:pPr>
        <w:pStyle w:val="ListBullet"/>
      </w:pPr>
      <w:r>
        <w:t>Enforce submission of department narratives and economic validation as mandatory for the quarterly cycle. Without them, reconciliation remains incomplete.</w:t>
      </w:r>
    </w:p>
    <w:p>
      <w:pPr>
        <w:pStyle w:val="ListBullet"/>
      </w:pPr>
      <w:r>
        <w:t>Ensure Q1 2026 actuals are made available ASAP and re-run reconciliation once received.</w:t>
      </w:r>
    </w:p>
    <w:p>
      <w:r>
        <w:t>Savings &amp; mitigation opportunities (quick wins)</w:t>
      </w:r>
    </w:p>
    <w:p>
      <w:pPr>
        <w:pStyle w:val="ListBullet"/>
      </w:pPr>
      <w:r>
        <w:t>Identify discretionary/non-critical spend in FIN to defer to Q2 — estimated potential to recover a portion of the AED 200k variance (department to confirm).</w:t>
      </w:r>
    </w:p>
    <w:p>
      <w:pPr>
        <w:pStyle w:val="ListBullet"/>
      </w:pPr>
      <w:r>
        <w:t>In INF, review maintenance scheduling and vendor invoices for possible re-phasing or contract renegotiation.</w:t>
      </w:r>
    </w:p>
    <w:p>
      <w:r>
        <w:t>────────────────────────────────────────────────────────────</w:t>
      </w:r>
    </w:p>
    <w:p>
      <w:pPr>
        <w:pStyle w:val="Heading2"/>
      </w:pPr>
      <w:r>
        <w:t>📝 Data Quality &amp; Methodology Notes</w:t>
      </w:r>
    </w:p>
    <w:p>
      <w:r>
        <w:t>Data Sources:</w:t>
      </w:r>
    </w:p>
    <w:p>
      <w:pPr>
        <w:pStyle w:val="ListBullet"/>
      </w:pPr>
      <w:r>
        <w:t>Official budgets: approved_budgets.csv (Agent 3)</w:t>
      </w:r>
    </w:p>
    <w:p>
      <w:pPr>
        <w:pStyle w:val="ListBullet"/>
      </w:pPr>
      <w:r>
        <w:t>Official actuals: historical_actuals.csv (Agent 3)</w:t>
      </w:r>
    </w:p>
    <w:p>
      <w:pPr>
        <w:pStyle w:val="ListBullet"/>
      </w:pPr>
      <w:r>
        <w:t>Policy references: variance_policy.json (Agent 3)</w:t>
      </w:r>
    </w:p>
    <w:p>
      <w:pPr>
        <w:pStyle w:val="ListBullet"/>
      </w:pPr>
      <w:r>
        <w:t>Department narratives: NOT PROVIDED (Agent 1 missing)</w:t>
      </w:r>
    </w:p>
    <w:p>
      <w:pPr>
        <w:pStyle w:val="ListBullet"/>
      </w:pPr>
      <w:r>
        <w:t>Economic validation: NOT PROVIDED (Agent 2 missing)</w:t>
      </w:r>
    </w:p>
    <w:p>
      <w:r>
        <w:t>Data Quality Summary (from Agent 3):</w:t>
      </w:r>
    </w:p>
    <w:p>
      <w:pPr>
        <w:pStyle w:val="ListBullet"/>
      </w:pPr>
      <w:r>
        <w:t>✅ Official CSV data complete for six departments for Q4 2025.</w:t>
      </w:r>
    </w:p>
    <w:p>
      <w:pPr>
        <w:pStyle w:val="ListBullet"/>
      </w:pPr>
      <w:r>
        <w:t>❌ Q1 2026 actuals are not available — the reconciliation is based on Q4 2025 actuals and 2025–26 approved budgets.</w:t>
      </w:r>
    </w:p>
    <w:p>
      <w:pPr>
        <w:pStyle w:val="ListBullet"/>
      </w:pPr>
      <w:r>
        <w:t>❌ Department narratives and economic context were not submitted; claim reconciliation is incomplete.</w:t>
      </w:r>
    </w:p>
    <w:p>
      <w:pPr>
        <w:pStyle w:val="ListBullet"/>
      </w:pPr>
      <w:r>
        <w:t>✅ Variance calculations were recomputed and cross-validated.</w:t>
      </w:r>
    </w:p>
    <w:p>
      <w:r>
        <w:t>Limitations:</w:t>
      </w:r>
    </w:p>
    <w:p>
      <w:pPr>
        <w:pStyle w:val="ListBullet"/>
      </w:pPr>
      <w:r>
        <w:t>This report cannot perform a full 3‑way reconciliation (department claims ↔ official actuals ↔ external validation) due to missing Agent 1 and Agent 2 inputs.</w:t>
      </w:r>
    </w:p>
    <w:p>
      <w:pPr>
        <w:pStyle w:val="ListBullet"/>
      </w:pPr>
      <w:r>
        <w:t>Organisation policy appears to apply an AED-minimum threshold for escalation; please confirm formal policy interpretation if you require strictly consistent banding.</w:t>
      </w:r>
    </w:p>
    <w:p>
      <w:r>
        <w:t>────────────────────────────────────────────────────────────</w:t>
      </w:r>
    </w:p>
    <w:p>
      <w:pPr>
        <w:pStyle w:val="Heading2"/>
      </w:pPr>
      <w:r>
        <w:t>✅ Audit Trail</w:t>
      </w:r>
    </w:p>
    <w:p>
      <w:r>
        <w:t>This report was generated by a multi-agent workflow:</w:t>
      </w:r>
    </w:p>
    <w:p>
      <w:pPr>
        <w:pStyle w:val="ListNumber"/>
      </w:pPr>
      <w:r>
        <w:t>Agent 1 (MCP): Department narratives — *NOT PROVIDED* for this cycle</w:t>
      </w:r>
    </w:p>
    <w:p>
      <w:pPr>
        <w:pStyle w:val="ListNumber"/>
      </w:pPr>
      <w:r>
        <w:t>Agent 2 (Web Search): Economic context — *NOT PROVIDED* for this cycle</w:t>
      </w:r>
    </w:p>
    <w:p>
      <w:pPr>
        <w:pStyle w:val="ListNumber"/>
      </w:pPr>
      <w:r>
        <w:t>Agent 3 (Code Interpreter): Official data analysis and reconciliation (approved budgets + Q4 2025 actuals; variance_policy.json)</w:t>
      </w:r>
    </w:p>
    <w:p>
      <w:pPr>
        <w:pStyle w:val="ListNumber"/>
      </w:pPr>
      <w:r>
        <w:t>Agent 4 (Foundry IQ): Policy &amp; compliance guidance — *no explicit content returned for this cycle*</w:t>
      </w:r>
    </w:p>
    <w:p>
      <w:pPr>
        <w:pStyle w:val="ListNumber"/>
      </w:pPr>
      <w:r>
        <w:t>Agent 5 (Summary): Synthesised this executive report</w:t>
      </w:r>
    </w:p>
    <w:p>
      <w:pPr>
        <w:pStyle w:val="ListNumber"/>
      </w:pPr>
      <w:r>
        <w:t>Agent 6 (Outlook): Distribution pending</w:t>
      </w:r>
    </w:p>
    <w:p>
      <w:r>
        <w:t>Generated: 2026-04-14 00:00 UTC</w:t>
      </w:r>
    </w:p>
    <w:p>
      <w:r>
        <w:t>Next Review: Q2 2026 (July 2026) — re-run reconciliation once Q1 2026 actuals and missing narratives are ingested.</w:t>
      </w:r>
    </w:p>
    <w:p>
      <w:r>
        <w:t>────────────────────────────────────────────────────────────</w:t>
      </w:r>
    </w:p>
    <w:p>
      <w:r>
        <w:t>Prepared for the CFO, Finance Committee and Board of Directors — Apex Digital Government Authority</w:t>
      </w:r>
    </w:p>
    <w:p>
      <w:r>
        <w:t>If you would like, I will:</w:t>
      </w:r>
    </w:p>
    <w:p>
      <w:pPr>
        <w:pStyle w:val="ListBullet"/>
      </w:pPr>
      <w:r>
        <w:t>(A) Draft the text for the formal request to FIN and INF heads to submit narratives and supporting docs within 5 business days, or</w:t>
      </w:r>
    </w:p>
    <w:p>
      <w:pPr>
        <w:pStyle w:val="ListBullet"/>
      </w:pPr>
      <w:r>
        <w:t>(B) Immediately re-run the reconciliation once you upload Q1 2026 actuals and any missing department narratives / external validation files.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