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Salary Slip Verification Report</w:t>
      </w:r>
    </w:p>
    <w:p>
      <w:r>
        <w:t>Generated: 2026-03-25</w:t>
      </w:r>
    </w:p>
    <w:p>
      <w:r>
        <w:t>Employee: Aarav Mehta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Executive Summary</w:t>
      </w:r>
    </w:p>
    <w:p>
      <w:r>
        <w:t>The payslip salary figures are consistent and salary variation falls within acceptable thresholds, but the submitted document fails format and employer-detail validations; overall the submission is REJECTED pending a corrected payslip.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Document Verification</w:t>
      </w:r>
    </w:p>
    <w:p>
      <w:pPr>
        <w:pStyle w:val="Heading3"/>
      </w:pPr>
      <w:r>
        <w:t>Status: ❌ REJECTED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Fields Complete</w:t>
            </w:r>
          </w:p>
        </w:tc>
        <w:tc>
          <w:tcPr>
            <w:tcW w:type="dxa" w:w="4320"/>
          </w:tcPr>
          <w:p>
            <w:r>
              <w:t>✅ Yes</w:t>
            </w:r>
          </w:p>
        </w:tc>
      </w:tr>
      <w:tr>
        <w:tc>
          <w:tcPr>
            <w:tcW w:type="dxa" w:w="4320"/>
          </w:tcPr>
          <w:p>
            <w:r>
              <w:t>Math Consistent</w:t>
            </w:r>
          </w:p>
        </w:tc>
        <w:tc>
          <w:tcPr>
            <w:tcW w:type="dxa" w:w="4320"/>
          </w:tcPr>
          <w:p>
            <w:r>
              <w:t>✅ Yes</w:t>
            </w:r>
          </w:p>
        </w:tc>
      </w:tr>
      <w:tr>
        <w:tc>
          <w:tcPr>
            <w:tcW w:type="dxa" w:w="4320"/>
          </w:tcPr>
          <w:p>
            <w:r>
              <w:t>Format Valid</w:t>
            </w:r>
          </w:p>
        </w:tc>
        <w:tc>
          <w:tcPr>
            <w:tcW w:type="dxa" w:w="4320"/>
          </w:tcPr>
          <w:p>
            <w:r>
              <w:t>❌ No</w:t>
            </w:r>
          </w:p>
        </w:tc>
      </w:tr>
      <w:tr>
        <w:tc>
          <w:tcPr>
            <w:tcW w:type="dxa" w:w="4320"/>
          </w:tcPr>
          <w:p>
            <w:r>
              <w:t>No Fraud Flags</w:t>
            </w:r>
          </w:p>
        </w:tc>
        <w:tc>
          <w:tcPr>
            <w:tcW w:type="dxa" w:w="4320"/>
          </w:tcPr>
          <w:p>
            <w:r>
              <w:t>❌ No</w:t>
            </w:r>
          </w:p>
        </w:tc>
      </w:tr>
    </w:tbl>
    <w:p>
      <w:r>
        <w:rPr>
          <w:b/>
        </w:rPr>
        <w:t>Issues Found:</w:t>
      </w:r>
    </w:p>
    <w:p>
      <w:pPr>
        <w:pStyle w:val="ListBullet"/>
      </w:pPr>
      <w:r>
        <w:t>Deductions are not itemised: only "Total Deductions" (0.00 AED) is provided; deductions must be itemised.</w:t>
      </w:r>
    </w:p>
    <w:p>
      <w:pPr>
        <w:pStyle w:val="ListBullet"/>
      </w:pPr>
      <w:r>
        <w:t>Employer details are incomplete: no company address, contact information or registration details provided (possible missing employer details).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Salary Analysis</w:t>
      </w:r>
    </w:p>
    <w:p>
      <w:pPr>
        <w:pStyle w:val="Heading3"/>
      </w:pPr>
      <w:r>
        <w:t>Salary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Pay 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Net Income (AED)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Income Type</w:t>
            </w:r>
          </w:p>
        </w:tc>
      </w:tr>
      <w:tr>
        <w:tc>
          <w:tcPr>
            <w:tcW w:type="dxa" w:w="2880"/>
          </w:tcPr>
          <w:p>
            <w:r>
              <w:t>2026-01-31</w:t>
            </w:r>
          </w:p>
        </w:tc>
        <w:tc>
          <w:tcPr>
            <w:tcW w:type="dxa" w:w="2880"/>
          </w:tcPr>
          <w:p>
            <w:r>
              <w:t>8,123.11</w:t>
            </w:r>
          </w:p>
        </w:tc>
        <w:tc>
          <w:tcPr>
            <w:tcW w:type="dxa" w:w="2880"/>
          </w:tcPr>
          <w:p>
            <w:r>
              <w:t>net</w:t>
            </w:r>
          </w:p>
        </w:tc>
      </w:tr>
      <w:tr>
        <w:tc>
          <w:tcPr>
            <w:tcW w:type="dxa" w:w="2880"/>
          </w:tcPr>
          <w:p>
            <w:r>
              <w:t>2026-02-28</w:t>
            </w:r>
          </w:p>
        </w:tc>
        <w:tc>
          <w:tcPr>
            <w:tcW w:type="dxa" w:w="2880"/>
          </w:tcPr>
          <w:p>
            <w:r>
              <w:t>8,165.01</w:t>
            </w:r>
          </w:p>
        </w:tc>
        <w:tc>
          <w:tcPr>
            <w:tcW w:type="dxa" w:w="2880"/>
          </w:tcPr>
          <w:p>
            <w:r>
              <w:t>net</w:t>
            </w:r>
          </w:p>
        </w:tc>
      </w:tr>
      <w:tr>
        <w:tc>
          <w:tcPr>
            <w:tcW w:type="dxa" w:w="2880"/>
          </w:tcPr>
          <w:p>
            <w:r>
              <w:t>2026-03-31</w:t>
            </w:r>
          </w:p>
        </w:tc>
        <w:tc>
          <w:tcPr>
            <w:tcW w:type="dxa" w:w="2880"/>
          </w:tcPr>
          <w:p>
            <w:r>
              <w:t>8,357.86</w:t>
            </w:r>
          </w:p>
        </w:tc>
        <w:tc>
          <w:tcPr>
            <w:tcW w:type="dxa" w:w="2880"/>
          </w:tcPr>
          <w:p>
            <w:r>
              <w:t>net</w:t>
            </w:r>
          </w:p>
        </w:tc>
      </w:tr>
    </w:tbl>
    <w:p>
      <w:pPr>
        <w:pStyle w:val="Heading3"/>
      </w:pPr>
      <w:r>
        <w:t>Variation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Absolute Change (AED)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 Change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2160"/>
          </w:tcPr>
          <w:p>
            <w:r>
              <w:t>2026-01-31 → 2026-02-28</w:t>
            </w:r>
          </w:p>
        </w:tc>
        <w:tc>
          <w:tcPr>
            <w:tcW w:type="dxa" w:w="2160"/>
          </w:tcPr>
          <w:p>
            <w:r>
              <w:t>41.90</w:t>
            </w:r>
          </w:p>
        </w:tc>
        <w:tc>
          <w:tcPr>
            <w:tcW w:type="dxa" w:w="2160"/>
          </w:tcPr>
          <w:p>
            <w:r>
              <w:t>0.5158%</w:t>
            </w:r>
          </w:p>
        </w:tc>
        <w:tc>
          <w:tcPr>
            <w:tcW w:type="dxa" w:w="2160"/>
          </w:tcPr>
          <w:p>
            <w:r>
              <w:t>Acceptable (within 20% threshold)</w:t>
            </w:r>
          </w:p>
        </w:tc>
      </w:tr>
      <w:tr>
        <w:tc>
          <w:tcPr>
            <w:tcW w:type="dxa" w:w="2160"/>
          </w:tcPr>
          <w:p>
            <w:r>
              <w:t>2026-02-28 → 2026-03-31</w:t>
            </w:r>
          </w:p>
        </w:tc>
        <w:tc>
          <w:tcPr>
            <w:tcW w:type="dxa" w:w="2160"/>
          </w:tcPr>
          <w:p>
            <w:r>
              <w:t>192.85</w:t>
            </w:r>
          </w:p>
        </w:tc>
        <w:tc>
          <w:tcPr>
            <w:tcW w:type="dxa" w:w="2160"/>
          </w:tcPr>
          <w:p>
            <w:r>
              <w:t>2.3619%</w:t>
            </w:r>
          </w:p>
        </w:tc>
        <w:tc>
          <w:tcPr>
            <w:tcW w:type="dxa" w:w="2160"/>
          </w:tcPr>
          <w:p>
            <w:r>
              <w:t>Acceptable (within 20% threshold)</w:t>
            </w:r>
          </w:p>
        </w:tc>
      </w:tr>
      <w:tr>
        <w:tc>
          <w:tcPr>
            <w:tcW w:type="dxa" w:w="2160"/>
          </w:tcPr>
          <w:p>
            <w:r>
              <w:t>2026-01-31 → 2026-03-31</w:t>
            </w:r>
          </w:p>
        </w:tc>
        <w:tc>
          <w:tcPr>
            <w:tcW w:type="dxa" w:w="2160"/>
          </w:tcPr>
          <w:p>
            <w:r>
              <w:t>234.75</w:t>
            </w:r>
          </w:p>
        </w:tc>
        <w:tc>
          <w:tcPr>
            <w:tcW w:type="dxa" w:w="2160"/>
          </w:tcPr>
          <w:p>
            <w:r>
              <w:t>2.8899%</w:t>
            </w:r>
          </w:p>
        </w:tc>
        <w:tc>
          <w:tcPr>
            <w:tcW w:type="dxa" w:w="2160"/>
          </w:tcPr>
          <w:p>
            <w:r>
              <w:t>Acceptable (within 20% threshold)</w:t>
            </w:r>
          </w:p>
        </w:tc>
      </w:tr>
    </w:tbl>
    <w:p>
      <w:pPr>
        <w:pStyle w:val="Heading3"/>
      </w:pPr>
      <w:r>
        <w:t>Validation Status: ✅ VALID</w:t>
      </w:r>
    </w:p>
    <w:p>
      <w:r>
        <w:rPr>
          <w:b/>
        </w:rPr>
        <w:t>Reasoning:</w:t>
      </w:r>
    </w:p>
    <w:p>
      <w:pPr>
        <w:pStyle w:val="ListNumber"/>
      </w:pPr>
      <w:r>
        <w:t>Computed percentage changes: 2026-01-31 → 2026-02-28 = 0.5158% (absolute AED 41.90) and 2026-02-28 → 2026-03-31 = 2.3619% (absolute AED 192.85). Overall 2026-01-31 → 2026-03-31 = 2.8899% (absolute AED 234.75). All |% change| &lt; 20% → falls in APPROVE bucket per threshold, so valid = true.</w:t>
      </w:r>
    </w:p>
    <w:p>
      <w:pPr>
        <w:pStyle w:val="ListNumber"/>
      </w:pPr>
      <w:r>
        <w:t>Cross-reference vs submitted March 2026 slip: submitted slip contains the line "Net Salary: AED 8,357.86" which matches CSV net_salary_aed = 8357.86. March gross (8357.86) and deductions (0.00) in CSV align with the submitted slip's Gross 8,357.86 and Total Deductions 0.00. February row shows gross_earnings_aed 8365.01 and deductions_aed 200.00, and 8365.01 - 200.00 = 8165.01 (CSV net) — math reconciles. No explicit explanatory note (bonus/arrears/unpaid leave/large deduction) is present in the submitted March slip beyond the quoted net salary line, but no clarification is required because all % changes are &lt;20%. No currency mismatch or missing dates or gross vs net inconsistencies were found.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Final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Employee</w:t>
            </w:r>
          </w:p>
        </w:tc>
        <w:tc>
          <w:tcPr>
            <w:tcW w:type="dxa" w:w="4320"/>
          </w:tcPr>
          <w:p>
            <w:r>
              <w:t>Aarav Mehta</w:t>
            </w:r>
          </w:p>
        </w:tc>
      </w:tr>
      <w:tr>
        <w:tc>
          <w:tcPr>
            <w:tcW w:type="dxa" w:w="4320"/>
          </w:tcPr>
          <w:p>
            <w:r>
              <w:t>Overall Status</w:t>
            </w:r>
          </w:p>
        </w:tc>
        <w:tc>
          <w:tcPr>
            <w:tcW w:type="dxa" w:w="4320"/>
          </w:tcPr>
          <w:p>
            <w:r>
              <w:t>REJECTED</w:t>
            </w:r>
          </w:p>
        </w:tc>
      </w:tr>
      <w:tr>
        <w:tc>
          <w:tcPr>
            <w:tcW w:type="dxa" w:w="4320"/>
          </w:tcPr>
          <w:p>
            <w:r>
              <w:t>Document Valid</w:t>
            </w:r>
          </w:p>
        </w:tc>
        <w:tc>
          <w:tcPr>
            <w:tcW w:type="dxa" w:w="4320"/>
          </w:tcPr>
          <w:p>
            <w:r>
              <w:t>❌ No</w:t>
            </w:r>
          </w:p>
        </w:tc>
      </w:tr>
      <w:tr>
        <w:tc>
          <w:tcPr>
            <w:tcW w:type="dxa" w:w="4320"/>
          </w:tcPr>
          <w:p>
            <w:r>
              <w:t>Salary Valid</w:t>
            </w:r>
          </w:p>
        </w:tc>
        <w:tc>
          <w:tcPr>
            <w:tcW w:type="dxa" w:w="4320"/>
          </w:tcPr>
          <w:p>
            <w:r>
              <w:t>✅ Yes</w:t>
            </w:r>
          </w:p>
        </w:tc>
      </w:tr>
      <w:tr>
        <w:tc>
          <w:tcPr>
            <w:tcW w:type="dxa" w:w="4320"/>
          </w:tcPr>
          <w:p>
            <w:r>
              <w:t>Recommendation</w:t>
            </w:r>
          </w:p>
        </w:tc>
        <w:tc>
          <w:tcPr>
            <w:tcW w:type="dxa" w:w="4320"/>
          </w:tcPr>
          <w:p>
            <w:r>
              <w:t>Reject the submitted payslip and request a corrected payslip with itemised deductions and complete employer details (company address, contact information, and registration) before approval.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Notes &amp; Observations</w:t>
      </w:r>
    </w:p>
    <w:p>
      <w:pPr>
        <w:pStyle w:val="ListBullet"/>
      </w:pPr>
      <w:r>
        <w:t>The salary figures and arithmetic are consistent and demonstrate stable income (overall change ~2.89%), so salary legitimacy appears acceptable.</w:t>
      </w:r>
    </w:p>
    <w:p>
      <w:pPr>
        <w:pStyle w:val="ListBullet"/>
      </w:pPr>
      <w:r>
        <w:t>The primary failure is document format/completeness: lack of itemised deductions and missing employer details are compliance issues and raise a potential fraud/completeness concern; these must be resolved by providing a corrected payslip or supplemental employer documentation.</w:t>
      </w:r>
    </w:p>
    <w:p>
      <w:pPr>
        <w:pStyle w:val="ListBullet"/>
      </w:pPr>
      <w:r>
        <w:t>Until a corrected document is provided, the payslip cannot be accepted for formal processing.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Report generated by Payslip Verification Workflow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