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Budget Variance Analysis Report — Q1 2026</w:t>
      </w:r>
    </w:p>
    <w:p>
      <w:r>
        <w:t>Organisation: Emirates Digital Authority (EDA)</w:t>
      </w:r>
    </w:p>
    <w:p>
      <w:r>
        <w:t>Period: January – March 2026 (Q1 FY2026)</w:t>
      </w:r>
    </w:p>
    <w:p>
      <w:r>
        <w:t>Report Date: 2026-03-30</w:t>
      </w:r>
    </w:p>
    <w:p>
      <w:r>
        <w:t>Prepared by: Multi-Agent Budget Analysis Workflow</w:t>
      </w:r>
    </w:p>
    <w:p>
      <w:r>
        <w:t>Classification: Internal — Finance &amp; Senior Leadership Only</w:t>
      </w:r>
    </w:p>
    <w:p>
      <w:r>
        <w:t>────────────────────────────────────────────────────────────</w:t>
      </w:r>
    </w:p>
    <w:p>
      <w:pPr>
        <w:pStyle w:val="Heading2"/>
      </w:pPr>
      <w:r>
        <w:t>📊 Executive Summary</w:t>
      </w:r>
    </w:p>
    <w:p>
      <w:r>
        <w:t>Total Q1 2026 expenditure reported by departments is AED 21,470,000 versus an approved Q1 budget of AED 19,450,000, yielding an overall variance of +AED 2,020,000 (+10.4%). Three departments recorded material overspends: Finance &amp; Procurement (FIN) +30.6% — CRITICAL, Information Technology (IT) +15.5% — SIGNIFICANT, and Infrastructure &amp; Facilities (INF) +14.7% — SIGNIFICANT. Key compliance flags: FIN exceeds the Board-notification threshold (&gt;25%); IT marginally exceeds the IT guideline cap (15%) and requires IT Funding Board justification; procurement-related overspends (ERP upgrade, emergency procurements) require vendor reconciliation per procurement code. Primary data caveat: official Q1 2026 actuals were not present in the authoritative financial CSV used for reconciliation, so departmental claims could not be independently verified.</w:t>
      </w:r>
    </w:p>
    <w:p>
      <w:r>
        <w:t>Key Highlights:</w:t>
      </w:r>
    </w:p>
    <w:p>
      <w:pPr>
        <w:pStyle w:val="ListBullet"/>
      </w:pPr>
      <w:r>
        <w:t>🚨 1 department requires Board notification (FIN)</w:t>
      </w:r>
    </w:p>
    <w:p>
      <w:pPr>
        <w:pStyle w:val="ListBullet"/>
      </w:pPr>
      <w:r>
        <w:t>🔶 3 department(s) require CFO / Finance Committee review (FIN, IT, INF)</w:t>
      </w:r>
    </w:p>
    <w:p>
      <w:pPr>
        <w:pStyle w:val="ListBullet"/>
      </w:pPr>
      <w:r>
        <w:t>✅ Overall compliance status: ISSUES_IDENTIFIED (documentation present but independent verification pending)</w:t>
      </w:r>
    </w:p>
    <w:p>
      <w:pPr>
        <w:pStyle w:val="ListBullet"/>
      </w:pPr>
      <w:r>
        <w:t>📈 Economic context: UNCLEAR (external validation data not provided / not available)</w:t>
      </w:r>
    </w:p>
    <w:p>
      <w:r>
        <w:t>────────────────────────────────────────────────────────────</w:t>
      </w:r>
    </w:p>
    <w:p>
      <w:pPr>
        <w:pStyle w:val="Heading2"/>
      </w:pPr>
      <w:r>
        <w:t>💰 Overall Budget Position</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Approved Budget (Q1)</w:t>
            </w:r>
          </w:p>
        </w:tc>
        <w:tc>
          <w:tcPr>
            <w:tcW w:type="dxa" w:w="4320"/>
          </w:tcPr>
          <w:p>
            <w:r>
              <w:t>AED 19,450,000</w:t>
            </w:r>
          </w:p>
        </w:tc>
      </w:tr>
      <w:tr>
        <w:tc>
          <w:tcPr>
            <w:tcW w:type="dxa" w:w="4320"/>
          </w:tcPr>
          <w:p>
            <w:r>
              <w:t>Total Actual Spend (Q1)</w:t>
            </w:r>
          </w:p>
        </w:tc>
        <w:tc>
          <w:tcPr>
            <w:tcW w:type="dxa" w:w="4320"/>
          </w:tcPr>
          <w:p>
            <w:r>
              <w:t>AED 21,470,000</w:t>
            </w:r>
          </w:p>
        </w:tc>
      </w:tr>
      <w:tr>
        <w:tc>
          <w:tcPr>
            <w:tcW w:type="dxa" w:w="4320"/>
          </w:tcPr>
          <w:p>
            <w:r>
              <w:t>Total Variance</w:t>
            </w:r>
          </w:p>
        </w:tc>
        <w:tc>
          <w:tcPr>
            <w:tcW w:type="dxa" w:w="4320"/>
          </w:tcPr>
          <w:p>
            <w:r>
              <w:t>AED +2,020,000 (+10.4%)</w:t>
            </w:r>
          </w:p>
        </w:tc>
      </w:tr>
      <w:tr>
        <w:tc>
          <w:tcPr>
            <w:tcW w:type="dxa" w:w="4320"/>
          </w:tcPr>
          <w:p>
            <w:r>
              <w:t>Overall Policy Status</w:t>
            </w:r>
          </w:p>
        </w:tc>
        <w:tc>
          <w:tcPr>
            <w:tcW w:type="dxa" w:w="4320"/>
          </w:tcPr>
          <w:p>
            <w:r>
              <w:t>⚠️ ISSUES_IDENTIFIED — escalation required for high variances</w:t>
            </w:r>
          </w:p>
        </w:tc>
      </w:tr>
      <w:tr>
        <w:tc>
          <w:tcPr>
            <w:tcW w:type="dxa" w:w="4320"/>
          </w:tcPr>
          <w:p>
            <w:r>
              <w:t>Departments Over Budget</w:t>
            </w:r>
          </w:p>
        </w:tc>
        <w:tc>
          <w:tcPr>
            <w:tcW w:type="dxa" w:w="4320"/>
          </w:tcPr>
          <w:p>
            <w:r>
              <w:t>3 of 6</w:t>
            </w:r>
          </w:p>
        </w:tc>
      </w:tr>
      <w:tr>
        <w:tc>
          <w:tcPr>
            <w:tcW w:type="dxa" w:w="4320"/>
          </w:tcPr>
          <w:p>
            <w:r>
              <w:t>Departments Under Budget</w:t>
            </w:r>
          </w:p>
        </w:tc>
        <w:tc>
          <w:tcPr>
            <w:tcW w:type="dxa" w:w="4320"/>
          </w:tcPr>
          <w:p>
            <w:r>
              <w:t>3 of 6</w:t>
            </w:r>
          </w:p>
        </w:tc>
      </w:tr>
      <w:tr>
        <w:tc>
          <w:tcPr>
            <w:tcW w:type="dxa" w:w="4320"/>
          </w:tcPr>
          <w:p>
            <w:r>
              <w:t>Claim Accuracy</w:t>
            </w:r>
          </w:p>
        </w:tc>
        <w:tc>
          <w:tcPr>
            <w:tcW w:type="dxa" w:w="4320"/>
          </w:tcPr>
          <w:p>
            <w:r>
              <w:t>0% verified (No Q1 2026 official actuals present in canonical dataset — verification pending)</w:t>
            </w:r>
          </w:p>
        </w:tc>
      </w:tr>
    </w:tbl>
    <w:p>
      <w:r>
        <w:t>────────────────────────────────────────────────────────────</w:t>
      </w:r>
    </w:p>
    <w:p>
      <w:pPr>
        <w:pStyle w:val="Heading2"/>
      </w:pPr>
      <w:r>
        <w:t>📋 Department Variance Summary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Dept</w:t>
            </w:r>
          </w:p>
        </w:tc>
        <w:tc>
          <w:tcPr>
            <w:tcW w:type="dxa" w:w="960"/>
          </w:tcPr>
          <w:p>
            <w:r>
              <w:rPr>
                <w:b/>
              </w:rPr>
              <w:t>Department Name</w:t>
            </w:r>
          </w:p>
        </w:tc>
        <w:tc>
          <w:tcPr>
            <w:tcW w:type="dxa" w:w="960"/>
          </w:tcPr>
          <w:p>
            <w:r>
              <w:rPr>
                <w:b/>
              </w:rPr>
              <w:t>Approved (AED)</w:t>
            </w:r>
          </w:p>
        </w:tc>
        <w:tc>
          <w:tcPr>
            <w:tcW w:type="dxa" w:w="960"/>
          </w:tcPr>
          <w:p>
            <w:r>
              <w:rPr>
                <w:b/>
              </w:rPr>
              <w:t>Actual (AED)</w:t>
            </w:r>
          </w:p>
        </w:tc>
        <w:tc>
          <w:tcPr>
            <w:tcW w:type="dxa" w:w="960"/>
          </w:tcPr>
          <w:p>
            <w:r>
              <w:rPr>
                <w:b/>
              </w:rPr>
              <w:t>Variance (AED)</w:t>
            </w:r>
          </w:p>
        </w:tc>
        <w:tc>
          <w:tcPr>
            <w:tcW w:type="dxa" w:w="960"/>
          </w:tcPr>
          <w:p>
            <w:r>
              <w:rPr>
                <w:b/>
              </w:rPr>
              <w:t>Var %</w:t>
            </w:r>
          </w:p>
        </w:tc>
        <w:tc>
          <w:tcPr>
            <w:tcW w:type="dxa" w:w="960"/>
          </w:tcPr>
          <w:p>
            <w:r>
              <w:rPr>
                <w:b/>
              </w:rPr>
              <w:t>Status</w:t>
            </w:r>
          </w:p>
        </w:tc>
        <w:tc>
          <w:tcPr>
            <w:tcW w:type="dxa" w:w="960"/>
          </w:tcPr>
          <w:p>
            <w:r>
              <w:rPr>
                <w:b/>
              </w:rPr>
              <w:t>Trend</w:t>
            </w:r>
          </w:p>
        </w:tc>
        <w:tc>
          <w:tcPr>
            <w:tcW w:type="dxa" w:w="960"/>
          </w:tcPr>
          <w:p>
            <w:r>
              <w:rPr>
                <w:b/>
              </w:rPr>
              <w:t>Claim Accuracy</w:t>
            </w:r>
          </w:p>
        </w:tc>
      </w:tr>
      <w:tr>
        <w:tc>
          <w:tcPr>
            <w:tcW w:type="dxa" w:w="960"/>
          </w:tcPr>
          <w:p>
            <w:r>
              <w:t>IT</w:t>
            </w:r>
          </w:p>
        </w:tc>
        <w:tc>
          <w:tcPr>
            <w:tcW w:type="dxa" w:w="960"/>
          </w:tcPr>
          <w:p>
            <w:r>
              <w:t>Information Technology</w:t>
            </w:r>
          </w:p>
        </w:tc>
        <w:tc>
          <w:tcPr>
            <w:tcW w:type="dxa" w:w="960"/>
          </w:tcPr>
          <w:p>
            <w:r>
              <w:t>4,200,000</w:t>
            </w:r>
          </w:p>
        </w:tc>
        <w:tc>
          <w:tcPr>
            <w:tcW w:type="dxa" w:w="960"/>
          </w:tcPr>
          <w:p>
            <w:r>
              <w:t>4,850,000</w:t>
            </w:r>
          </w:p>
        </w:tc>
        <w:tc>
          <w:tcPr>
            <w:tcW w:type="dxa" w:w="960"/>
          </w:tcPr>
          <w:p>
            <w:r>
              <w:t>+650,000</w:t>
            </w:r>
          </w:p>
        </w:tc>
        <w:tc>
          <w:tcPr>
            <w:tcW w:type="dxa" w:w="960"/>
          </w:tcPr>
          <w:p>
            <w:r>
              <w:t>+15.5%</w:t>
            </w:r>
          </w:p>
        </w:tc>
        <w:tc>
          <w:tcPr>
            <w:tcW w:type="dxa" w:w="960"/>
          </w:tcPr>
          <w:p>
            <w:r>
              <w:t>🔶 SIGNIFICANT</w:t>
            </w:r>
          </w:p>
        </w:tc>
        <w:tc>
          <w:tcPr>
            <w:tcW w:type="dxa" w:w="960"/>
          </w:tcPr>
          <w:p>
            <w:r>
              <w:t>↗️ WORSENING</w:t>
            </w:r>
          </w:p>
        </w:tc>
        <w:tc>
          <w:tcPr>
            <w:tcW w:type="dxa" w:w="960"/>
          </w:tcPr>
          <w:p>
            <w:r>
              <w:t>⚠️ UNVERIFIED</w:t>
            </w:r>
          </w:p>
        </w:tc>
      </w:tr>
      <w:tr>
        <w:tc>
          <w:tcPr>
            <w:tcW w:type="dxa" w:w="960"/>
          </w:tcPr>
          <w:p>
            <w:r>
              <w:t>HR</w:t>
            </w:r>
          </w:p>
        </w:tc>
        <w:tc>
          <w:tcPr>
            <w:tcW w:type="dxa" w:w="960"/>
          </w:tcPr>
          <w:p>
            <w:r>
              <w:t>Human Resources</w:t>
            </w:r>
          </w:p>
        </w:tc>
        <w:tc>
          <w:tcPr>
            <w:tcW w:type="dxa" w:w="960"/>
          </w:tcPr>
          <w:p>
            <w:r>
              <w:t>2,800,000</w:t>
            </w:r>
          </w:p>
        </w:tc>
        <w:tc>
          <w:tcPr>
            <w:tcW w:type="dxa" w:w="960"/>
          </w:tcPr>
          <w:p>
            <w:r>
              <w:t>2,650,000</w:t>
            </w:r>
          </w:p>
        </w:tc>
        <w:tc>
          <w:tcPr>
            <w:tcW w:type="dxa" w:w="960"/>
          </w:tcPr>
          <w:p>
            <w:r>
              <w:t>-150,000</w:t>
            </w:r>
          </w:p>
        </w:tc>
        <w:tc>
          <w:tcPr>
            <w:tcW w:type="dxa" w:w="960"/>
          </w:tcPr>
          <w:p>
            <w:r>
              <w:t>-5.4%</w:t>
            </w:r>
          </w:p>
        </w:tc>
        <w:tc>
          <w:tcPr>
            <w:tcW w:type="dxa" w:w="960"/>
          </w:tcPr>
          <w:p>
            <w:r>
              <w:t>⚠️ MINOR</w:t>
            </w:r>
          </w:p>
        </w:tc>
        <w:tc>
          <w:tcPr>
            <w:tcW w:type="dxa" w:w="960"/>
          </w:tcPr>
          <w:p>
            <w:r>
              <w:t>↘️ IMPROVING</w:t>
            </w:r>
          </w:p>
        </w:tc>
        <w:tc>
          <w:tcPr>
            <w:tcW w:type="dxa" w:w="960"/>
          </w:tcPr>
          <w:p>
            <w:r>
              <w:t>⚠️ UNVERIFIED</w:t>
            </w:r>
          </w:p>
        </w:tc>
      </w:tr>
      <w:tr>
        <w:tc>
          <w:tcPr>
            <w:tcW w:type="dxa" w:w="960"/>
          </w:tcPr>
          <w:p>
            <w:r>
              <w:t>INF</w:t>
            </w:r>
          </w:p>
        </w:tc>
        <w:tc>
          <w:tcPr>
            <w:tcW w:type="dxa" w:w="960"/>
          </w:tcPr>
          <w:p>
            <w:r>
              <w:t>Infrastructure &amp; Facilities</w:t>
            </w:r>
          </w:p>
        </w:tc>
        <w:tc>
          <w:tcPr>
            <w:tcW w:type="dxa" w:w="960"/>
          </w:tcPr>
          <w:p>
            <w:r>
              <w:t>8,500,000</w:t>
            </w:r>
          </w:p>
        </w:tc>
        <w:tc>
          <w:tcPr>
            <w:tcW w:type="dxa" w:w="960"/>
          </w:tcPr>
          <w:p>
            <w:r>
              <w:t>9,750,000</w:t>
            </w:r>
          </w:p>
        </w:tc>
        <w:tc>
          <w:tcPr>
            <w:tcW w:type="dxa" w:w="960"/>
          </w:tcPr>
          <w:p>
            <w:r>
              <w:t>+1,250,000</w:t>
            </w:r>
          </w:p>
        </w:tc>
        <w:tc>
          <w:tcPr>
            <w:tcW w:type="dxa" w:w="960"/>
          </w:tcPr>
          <w:p>
            <w:r>
              <w:t>+14.7%</w:t>
            </w:r>
          </w:p>
        </w:tc>
        <w:tc>
          <w:tcPr>
            <w:tcW w:type="dxa" w:w="960"/>
          </w:tcPr>
          <w:p>
            <w:r>
              <w:t>🔶 SIGNIFICANT</w:t>
            </w:r>
          </w:p>
        </w:tc>
        <w:tc>
          <w:tcPr>
            <w:tcW w:type="dxa" w:w="960"/>
          </w:tcPr>
          <w:p>
            <w:r>
              <w:t>↗️ WORSENING</w:t>
            </w:r>
          </w:p>
        </w:tc>
        <w:tc>
          <w:tcPr>
            <w:tcW w:type="dxa" w:w="960"/>
          </w:tcPr>
          <w:p>
            <w:r>
              <w:t>⚠️ UNVERIFIED</w:t>
            </w:r>
          </w:p>
        </w:tc>
      </w:tr>
      <w:tr>
        <w:tc>
          <w:tcPr>
            <w:tcW w:type="dxa" w:w="960"/>
          </w:tcPr>
          <w:p>
            <w:r>
              <w:t>COM</w:t>
            </w:r>
          </w:p>
        </w:tc>
        <w:tc>
          <w:tcPr>
            <w:tcW w:type="dxa" w:w="960"/>
          </w:tcPr>
          <w:p>
            <w:r>
              <w:t>Communications &amp; Media</w:t>
            </w:r>
          </w:p>
        </w:tc>
        <w:tc>
          <w:tcPr>
            <w:tcW w:type="dxa" w:w="960"/>
          </w:tcPr>
          <w:p>
            <w:r>
              <w:t>1,200,000</w:t>
            </w:r>
          </w:p>
        </w:tc>
        <w:tc>
          <w:tcPr>
            <w:tcW w:type="dxa" w:w="960"/>
          </w:tcPr>
          <w:p>
            <w:r>
              <w:t>980,000</w:t>
            </w:r>
          </w:p>
        </w:tc>
        <w:tc>
          <w:tcPr>
            <w:tcW w:type="dxa" w:w="960"/>
          </w:tcPr>
          <w:p>
            <w:r>
              <w:t>-220,000</w:t>
            </w:r>
          </w:p>
        </w:tc>
        <w:tc>
          <w:tcPr>
            <w:tcW w:type="dxa" w:w="960"/>
          </w:tcPr>
          <w:p>
            <w:r>
              <w:t>-18.3%</w:t>
            </w:r>
          </w:p>
        </w:tc>
        <w:tc>
          <w:tcPr>
            <w:tcW w:type="dxa" w:w="960"/>
          </w:tcPr>
          <w:p>
            <w:r>
              <w:t>🔵 UNDERSPEND</w:t>
            </w:r>
          </w:p>
        </w:tc>
        <w:tc>
          <w:tcPr>
            <w:tcW w:type="dxa" w:w="960"/>
          </w:tcPr>
          <w:p>
            <w:r>
              <w:t>↘️ IMPROVING</w:t>
            </w:r>
          </w:p>
        </w:tc>
        <w:tc>
          <w:tcPr>
            <w:tcW w:type="dxa" w:w="960"/>
          </w:tcPr>
          <w:p>
            <w:r>
              <w:t>⚠️ UNVERIFIED</w:t>
            </w:r>
          </w:p>
        </w:tc>
      </w:tr>
      <w:tr>
        <w:tc>
          <w:tcPr>
            <w:tcW w:type="dxa" w:w="960"/>
          </w:tcPr>
          <w:p>
            <w:r>
              <w:t>POL</w:t>
            </w:r>
          </w:p>
        </w:tc>
        <w:tc>
          <w:tcPr>
            <w:tcW w:type="dxa" w:w="960"/>
          </w:tcPr>
          <w:p>
            <w:r>
              <w:t>Policy &amp; Research</w:t>
            </w:r>
          </w:p>
        </w:tc>
        <w:tc>
          <w:tcPr>
            <w:tcW w:type="dxa" w:w="960"/>
          </w:tcPr>
          <w:p>
            <w:r>
              <w:t>950,000</w:t>
            </w:r>
          </w:p>
        </w:tc>
        <w:tc>
          <w:tcPr>
            <w:tcW w:type="dxa" w:w="960"/>
          </w:tcPr>
          <w:p>
            <w:r>
              <w:t>890,000</w:t>
            </w:r>
          </w:p>
        </w:tc>
        <w:tc>
          <w:tcPr>
            <w:tcW w:type="dxa" w:w="960"/>
          </w:tcPr>
          <w:p>
            <w:r>
              <w:t>-60,000</w:t>
            </w:r>
          </w:p>
        </w:tc>
        <w:tc>
          <w:tcPr>
            <w:tcW w:type="dxa" w:w="960"/>
          </w:tcPr>
          <w:p>
            <w:r>
              <w:t>-6.3%</w:t>
            </w:r>
          </w:p>
        </w:tc>
        <w:tc>
          <w:tcPr>
            <w:tcW w:type="dxa" w:w="960"/>
          </w:tcPr>
          <w:p>
            <w:r>
              <w:t>⚠️ MINOR</w:t>
            </w:r>
          </w:p>
        </w:tc>
        <w:tc>
          <w:tcPr>
            <w:tcW w:type="dxa" w:w="960"/>
          </w:tcPr>
          <w:p>
            <w:r>
              <w:t>↘️ IMPROVING</w:t>
            </w:r>
          </w:p>
        </w:tc>
        <w:tc>
          <w:tcPr>
            <w:tcW w:type="dxa" w:w="960"/>
          </w:tcPr>
          <w:p>
            <w:r>
              <w:t>⚠️ UNVERIFIED</w:t>
            </w:r>
          </w:p>
        </w:tc>
      </w:tr>
      <w:tr>
        <w:tc>
          <w:tcPr>
            <w:tcW w:type="dxa" w:w="960"/>
          </w:tcPr>
          <w:p>
            <w:r>
              <w:t>FIN</w:t>
            </w:r>
          </w:p>
        </w:tc>
        <w:tc>
          <w:tcPr>
            <w:tcW w:type="dxa" w:w="960"/>
          </w:tcPr>
          <w:p>
            <w:r>
              <w:t>Finance &amp; Procurement</w:t>
            </w:r>
          </w:p>
        </w:tc>
        <w:tc>
          <w:tcPr>
            <w:tcW w:type="dxa" w:w="960"/>
          </w:tcPr>
          <w:p>
            <w:r>
              <w:t>1,800,000</w:t>
            </w:r>
          </w:p>
        </w:tc>
        <w:tc>
          <w:tcPr>
            <w:tcW w:type="dxa" w:w="960"/>
          </w:tcPr>
          <w:p>
            <w:r>
              <w:t>2,350,000</w:t>
            </w:r>
          </w:p>
        </w:tc>
        <w:tc>
          <w:tcPr>
            <w:tcW w:type="dxa" w:w="960"/>
          </w:tcPr>
          <w:p>
            <w:r>
              <w:t>+550,000</w:t>
            </w:r>
          </w:p>
        </w:tc>
        <w:tc>
          <w:tcPr>
            <w:tcW w:type="dxa" w:w="960"/>
          </w:tcPr>
          <w:p>
            <w:r>
              <w:t>+30.6%</w:t>
            </w:r>
          </w:p>
        </w:tc>
        <w:tc>
          <w:tcPr>
            <w:tcW w:type="dxa" w:w="960"/>
          </w:tcPr>
          <w:p>
            <w:r>
              <w:t>🚨 CRITICAL</w:t>
            </w:r>
          </w:p>
        </w:tc>
        <w:tc>
          <w:tcPr>
            <w:tcW w:type="dxa" w:w="960"/>
          </w:tcPr>
          <w:p>
            <w:r>
              <w:t>↗️ WORSENING</w:t>
            </w:r>
          </w:p>
        </w:tc>
        <w:tc>
          <w:tcPr>
            <w:tcW w:type="dxa" w:w="960"/>
          </w:tcPr>
          <w:p>
            <w:r>
              <w:t>⚠️ UNVERIFIED</w:t>
            </w:r>
          </w:p>
        </w:tc>
      </w:tr>
    </w:tbl>
    <w:p>
      <w:r>
        <w:t>Status Legend: ✅ ACCEPTABLE (&lt;5%) · ⚠️ MINOR (5–10%) · 🔶 SIGNIFICANT (10–25%, CFO) · 🚨 CRITICAL (&gt;25%, Board) · 🔵 UNDERSPEND (&lt; -15%)</w:t>
      </w:r>
    </w:p>
    <w:p>
      <w:r>
        <w:t>Notes:</w:t>
      </w:r>
    </w:p>
    <w:p>
      <w:pPr>
        <w:pStyle w:val="ListBullet"/>
      </w:pPr>
      <w:r>
        <w:t>Claim Accuracy marked as ⚠️ UNVERIFIED for all departments because the authoritative official Q1 actuals file did not include Q1 2026 actuals (Agent 3). Departments have provided narratives and approvals (per their submissions) but independent reconciliation is pending.</w:t>
      </w:r>
    </w:p>
    <w:p>
      <w:r>
        <w:t>────────────────────────────────────────────────────────────</w:t>
      </w:r>
    </w:p>
    <w:p>
      <w:pPr>
        <w:pStyle w:val="Heading2"/>
      </w:pPr>
      <w:r>
        <w:t>🌍 Economic Context &amp; Claim Validation</w:t>
      </w:r>
    </w:p>
    <w:p>
      <w:r>
        <w:t>Synthesis of Agent 2 outputs: Economic validation content was not supplied / not present in the Agent 2 payload. Therefore external macro/sector validations could not be completed. Below is what we can state given the information available and recommended next steps.</w:t>
      </w:r>
    </w:p>
    <w:p>
      <w:pPr>
        <w:pStyle w:val="Heading3"/>
      </w:pPr>
      <w:r>
        <w:t>Macroeconomic Environment (Q1 2026)</w:t>
      </w:r>
    </w:p>
    <w:p>
      <w:pPr>
        <w:pStyle w:val="ListBullet"/>
      </w:pPr>
      <w:r>
        <w:t>Inflation / CPI (Jan–Mar 2026): UNCLEAR — external CPI data not provided.</w:t>
      </w:r>
    </w:p>
    <w:p>
      <w:pPr>
        <w:pStyle w:val="ListBullet"/>
      </w:pPr>
      <w:r>
        <w:t>Government Spending Environment: UNCLEAR — no external confirmation provided.</w:t>
      </w:r>
    </w:p>
    <w:p>
      <w:pPr>
        <w:pStyle w:val="Heading3"/>
      </w:pPr>
      <w:r>
        <w:t>Sector-Specific Trends (Unable to fully validate)</w:t>
      </w:r>
    </w:p>
    <w:p>
      <w:pPr>
        <w:pStyle w:val="ListBullet"/>
      </w:pPr>
      <w:r>
        <w:t>IT &amp; Cloud Services — Department claims (ransomware response, cloud scaling) are plausible operational drivers; however, external confirmation (cloud cost inflation, incident reports) was not provided in Agent 2 outputs, so validation is UNCONFIRMED.</w:t>
      </w:r>
    </w:p>
    <w:p>
      <w:pPr>
        <w:pStyle w:val="ListBullet"/>
      </w:pPr>
      <w:r>
        <w:t>Energy &amp; Facilities — INF claims (emergency roof repair, HVAC replacement) are operationally plausible; external weather/energy cost validation not available.</w:t>
      </w:r>
    </w:p>
    <w:p>
      <w:pPr>
        <w:pStyle w:val="ListBullet"/>
      </w:pPr>
      <w:r>
        <w:t>HR &amp; Recruitment — HR claims of recruitment delays align with expected regulatory-driven hiring delays, but external validation is UNCONFIRMED.</w:t>
      </w:r>
    </w:p>
    <w:p>
      <w:pPr>
        <w:pStyle w:val="Heading3"/>
      </w:pPr>
      <w:r>
        <w:t>Claim Validation Summary</w:t>
      </w:r>
    </w:p>
    <w:p>
      <w:pPr>
        <w:pStyle w:val="ListBullet"/>
      </w:pPr>
      <w:r>
        <w:t>Validation status: UNCLEAR / UNVERIFIED — Agent 2 economic validation data was not supplied to the workflow. Recommendation: run Agent 2 web search to confirm cloud cost trends, cybersecurity incident reports, and utility/energy cost changes for Q1 2026.</w:t>
      </w:r>
    </w:p>
    <w:p>
      <w:r>
        <w:t>────────────────────────────────────────────────────────────</w:t>
      </w:r>
    </w:p>
    <w:p>
      <w:pPr>
        <w:pStyle w:val="Heading2"/>
      </w:pPr>
      <w:r>
        <w:t>🔍 Detailed Department Analysis (SIGNIFICANT &amp; CRITICAL)</w:t>
      </w:r>
    </w:p>
    <w:p>
      <w:r>
        <w:t>Note: Official Q1 actuals were absent from the canonical actuals file used for reconciliation (Agent 3). The analysis below integrates department-submitted narratives (Agent 1) and policy context (Agent 4); verification versus official ledgers remains pending.</w:t>
      </w:r>
    </w:p>
    <w:p>
      <w:pPr>
        <w:pStyle w:val="Heading3"/>
      </w:pPr>
      <w:r>
        <w:t>🔶 Information Technology Department — SIGNIFICANT</w:t>
      </w:r>
    </w:p>
    <w:p>
      <w:r>
        <w:rPr>
          <w:b/>
        </w:rPr>
        <w:t>Variance Overview</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Approved Budget</w:t>
            </w:r>
          </w:p>
        </w:tc>
        <w:tc>
          <w:tcPr>
            <w:tcW w:type="dxa" w:w="4320"/>
          </w:tcPr>
          <w:p>
            <w:r>
              <w:t>AED 4,200,000</w:t>
            </w:r>
          </w:p>
        </w:tc>
      </w:tr>
      <w:tr>
        <w:tc>
          <w:tcPr>
            <w:tcW w:type="dxa" w:w="4320"/>
          </w:tcPr>
          <w:p>
            <w:r>
              <w:t>Actual Spend (reported)</w:t>
            </w:r>
          </w:p>
        </w:tc>
        <w:tc>
          <w:tcPr>
            <w:tcW w:type="dxa" w:w="4320"/>
          </w:tcPr>
          <w:p>
            <w:r>
              <w:t>AED 4,850,000</w:t>
            </w:r>
          </w:p>
        </w:tc>
      </w:tr>
      <w:tr>
        <w:tc>
          <w:tcPr>
            <w:tcW w:type="dxa" w:w="4320"/>
          </w:tcPr>
          <w:p>
            <w:r>
              <w:t>Variance</w:t>
            </w:r>
          </w:p>
        </w:tc>
        <w:tc>
          <w:tcPr>
            <w:tcW w:type="dxa" w:w="4320"/>
          </w:tcPr>
          <w:p>
            <w:r>
              <w:t>AED +650,000 (+15.5%)</w:t>
            </w:r>
          </w:p>
        </w:tc>
      </w:tr>
      <w:tr>
        <w:tc>
          <w:tcPr>
            <w:tcW w:type="dxa" w:w="4320"/>
          </w:tcPr>
          <w:p>
            <w:r>
              <w:t>Policy Status</w:t>
            </w:r>
          </w:p>
        </w:tc>
        <w:tc>
          <w:tcPr>
            <w:tcW w:type="dxa" w:w="4320"/>
          </w:tcPr>
          <w:p>
            <w:r>
              <w:t>🔶 SIGNIFICANT (exceeds 15% IT cap per IT guidance)</w:t>
            </w:r>
          </w:p>
        </w:tc>
      </w:tr>
      <w:tr>
        <w:tc>
          <w:tcPr>
            <w:tcW w:type="dxa" w:w="4320"/>
          </w:tcPr>
          <w:p>
            <w:r>
              <w:t>Historical Trend (Agent 3 baseline)</w:t>
            </w:r>
          </w:p>
        </w:tc>
        <w:tc>
          <w:tcPr>
            <w:tcW w:type="dxa" w:w="4320"/>
          </w:tcPr>
          <w:p>
            <w:r>
              <w:t>Avg last 4 quarters variance: +8.6% → ↗️ WORSENING (+6.9pp)</w:t>
            </w:r>
          </w:p>
        </w:tc>
      </w:tr>
    </w:tbl>
    <w:p>
      <w:r>
        <w:rPr>
          <w:b/>
        </w:rPr>
        <w:t>Department Claims vs. Official Data</w:t>
      </w:r>
    </w:p>
    <w:p>
      <w:pPr>
        <w:pStyle w:val="ListBullet"/>
      </w:pPr>
      <w:r>
        <w:t>Claimed actual spend: AED 4,850,000 (per department narrative)</w:t>
      </w:r>
    </w:p>
    <w:p>
      <w:pPr>
        <w:pStyle w:val="ListBullet"/>
      </w:pPr>
      <w:r>
        <w:t>Official Q1 actuals: NOT AVAILABLE in supplied official dataset — reconciliation pending</w:t>
      </w:r>
    </w:p>
    <w:p>
      <w:pPr>
        <w:pStyle w:val="ListBullet"/>
      </w:pPr>
      <w:r>
        <w:t>Accuracy: ⚠️ UNVERIFIED (documentation provided by CIO; independent ledger confirmation required)</w:t>
      </w:r>
    </w:p>
    <w:p>
      <w:r>
        <w:rPr>
          <w:b/>
        </w:rPr>
        <w:t>Justifications Submitted</w:t>
      </w:r>
    </w:p>
    <w:p>
      <w:pPr>
        <w:pStyle w:val="ListNumber"/>
      </w:pPr>
      <w:r>
        <w:t>Emergency procurement of EDR licences due to ransomware threat — AED 400,000.</w:t>
      </w:r>
    </w:p>
    <w:p>
      <w:pPr>
        <w:pStyle w:val="ListNumber"/>
      </w:pPr>
      <w:r>
        <w:t>Cloud infrastructure scaling for early National Digital Services Portal launch — AED 250,000.</w:t>
      </w:r>
    </w:p>
    <w:p>
      <w:pPr>
        <w:pStyle w:val="ListNumber"/>
      </w:pPr>
      <w:r>
        <w:t>Routine staff and maintenance lines within budget.</w:t>
      </w:r>
    </w:p>
    <w:p>
      <w:r>
        <w:rPr>
          <w:b/>
        </w:rPr>
        <w:t>Policy &amp; Compliance Notes (Agent 4)</w:t>
      </w:r>
    </w:p>
    <w:p>
      <w:pPr>
        <w:pStyle w:val="ListBullet"/>
      </w:pPr>
      <w:r>
        <w:t>IT Budget &amp; Technology Guidance (2025) caps normative overspend at 15% for new technology. Reported IT overspend is +15.5%, marginally above this cap → requires IT Funding Board approval and technical impact assessment within 15 business days.</w:t>
      </w:r>
    </w:p>
    <w:p>
      <w:pPr>
        <w:pStyle w:val="ListBullet"/>
      </w:pPr>
      <w:r>
        <w:t>Emergency cybersecurity procurement aligns with emergency procurement procedures — confirm approvals per EDA Emergency Procurement Procedure (EDA-PRO-014).</w:t>
      </w:r>
    </w:p>
    <w:p>
      <w:r>
        <w:rPr>
          <w:b/>
        </w:rPr>
        <w:t>Required Actions</w:t>
      </w:r>
    </w:p>
    <w:p>
      <w:pPr>
        <w:pStyle w:val="ListBullet"/>
      </w:pPr>
      <w:r>
        <w:t>CFO / IT Funding Board review and approval of the +0.5pp excess in IT overspend.</w:t>
      </w:r>
    </w:p>
    <w:p>
      <w:pPr>
        <w:pStyle w:val="ListBullet"/>
      </w:pPr>
      <w:r>
        <w:t>Provide technical impact assessment and incident report (ransomware response) to Finance Committee within 15 business days.</w:t>
      </w:r>
    </w:p>
    <w:p>
      <w:pPr>
        <w:pStyle w:val="ListBullet"/>
      </w:pPr>
      <w:r>
        <w:t>Submit vendor invoices, procurement approvals, and emergency justification to Internal Audit for a focused review.</w:t>
      </w:r>
    </w:p>
    <w:p>
      <w:r>
        <w:rPr>
          <w:b/>
        </w:rPr>
        <w:t>Remediation (as submitted)</w:t>
      </w:r>
    </w:p>
    <w:p>
      <w:pPr>
        <w:pStyle w:val="ListBullet"/>
      </w:pPr>
      <w:r>
        <w:t>CIO implemented a freeze on non-essential purchases.</w:t>
      </w:r>
    </w:p>
    <w:p>
      <w:pPr>
        <w:pStyle w:val="ListBullet"/>
      </w:pPr>
      <w:r>
        <w:t>Cloud optimization and reserved-instance commitments proposed — projected savings ~AED 150–200K/quarter.</w:t>
      </w:r>
    </w:p>
    <w:p>
      <w:pPr>
        <w:pStyle w:val="ListBullet"/>
      </w:pPr>
      <w:r>
        <w:t>Monthly cloud spend reporting recommended for Q2.</w:t>
      </w:r>
    </w:p>
    <w:p>
      <w:r>
        <w:t>Audit Risk: 🔴 HIGH if documentation / approvals cannot be shown in canonical ledgers.</w:t>
      </w:r>
    </w:p>
    <w:p>
      <w:r>
        <w:t>────────────────────────────────────────────────────────────</w:t>
      </w:r>
    </w:p>
    <w:p>
      <w:pPr>
        <w:pStyle w:val="Heading3"/>
      </w:pPr>
      <w:r>
        <w:t>🔶 Infrastructure &amp; Facilities Department — SIGNIFICANT</w:t>
      </w:r>
    </w:p>
    <w:p>
      <w:r>
        <w:rPr>
          <w:b/>
        </w:rPr>
        <w:t>Variance Overview</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Approved Budget</w:t>
            </w:r>
          </w:p>
        </w:tc>
        <w:tc>
          <w:tcPr>
            <w:tcW w:type="dxa" w:w="4320"/>
          </w:tcPr>
          <w:p>
            <w:r>
              <w:t>AED 8,500,000</w:t>
            </w:r>
          </w:p>
        </w:tc>
      </w:tr>
      <w:tr>
        <w:tc>
          <w:tcPr>
            <w:tcW w:type="dxa" w:w="4320"/>
          </w:tcPr>
          <w:p>
            <w:r>
              <w:t>Actual Spend (reported)</w:t>
            </w:r>
          </w:p>
        </w:tc>
        <w:tc>
          <w:tcPr>
            <w:tcW w:type="dxa" w:w="4320"/>
          </w:tcPr>
          <w:p>
            <w:r>
              <w:t>AED 9,750,000</w:t>
            </w:r>
          </w:p>
        </w:tc>
      </w:tr>
      <w:tr>
        <w:tc>
          <w:tcPr>
            <w:tcW w:type="dxa" w:w="4320"/>
          </w:tcPr>
          <w:p>
            <w:r>
              <w:t>Variance</w:t>
            </w:r>
          </w:p>
        </w:tc>
        <w:tc>
          <w:tcPr>
            <w:tcW w:type="dxa" w:w="4320"/>
          </w:tcPr>
          <w:p>
            <w:r>
              <w:t>AED +1,250,000 (+14.7%)</w:t>
            </w:r>
          </w:p>
        </w:tc>
      </w:tr>
      <w:tr>
        <w:tc>
          <w:tcPr>
            <w:tcW w:type="dxa" w:w="4320"/>
          </w:tcPr>
          <w:p>
            <w:r>
              <w:t>Policy Status</w:t>
            </w:r>
          </w:p>
        </w:tc>
        <w:tc>
          <w:tcPr>
            <w:tcW w:type="dxa" w:w="4320"/>
          </w:tcPr>
          <w:p>
            <w:r>
              <w:t>🔶 SIGNIFICANT</w:t>
            </w:r>
          </w:p>
        </w:tc>
      </w:tr>
      <w:tr>
        <w:tc>
          <w:tcPr>
            <w:tcW w:type="dxa" w:w="4320"/>
          </w:tcPr>
          <w:p>
            <w:r>
              <w:t>Historical Trend (Agent 3 baseline)</w:t>
            </w:r>
          </w:p>
        </w:tc>
        <w:tc>
          <w:tcPr>
            <w:tcW w:type="dxa" w:w="4320"/>
          </w:tcPr>
          <w:p>
            <w:r>
              <w:t>Avg last 4 quarters variance: +5.8% → ↗️ WORSENING (+8.9pp)</w:t>
            </w:r>
          </w:p>
        </w:tc>
      </w:tr>
    </w:tbl>
    <w:p>
      <w:r>
        <w:rPr>
          <w:b/>
        </w:rPr>
        <w:t>Department Claims vs. Official Data</w:t>
      </w:r>
    </w:p>
    <w:p>
      <w:pPr>
        <w:pStyle w:val="ListBullet"/>
      </w:pPr>
      <w:r>
        <w:t>Claimed actual spend: AED 9,750,000</w:t>
      </w:r>
    </w:p>
    <w:p>
      <w:pPr>
        <w:pStyle w:val="ListBullet"/>
      </w:pPr>
      <w:r>
        <w:t>Official Q1 actuals: NOT AVAILABLE — reconciliation pending</w:t>
      </w:r>
    </w:p>
    <w:p>
      <w:pPr>
        <w:pStyle w:val="ListBullet"/>
      </w:pPr>
      <w:r>
        <w:t>Accuracy: ⚠️ UNVERIFIED (department supplied inspection reports and COO approvals; ledger confirmation required)</w:t>
      </w:r>
    </w:p>
    <w:p>
      <w:r>
        <w:rPr>
          <w:b/>
        </w:rPr>
        <w:t>Justifications Submitted</w:t>
      </w:r>
    </w:p>
    <w:p>
      <w:pPr>
        <w:pStyle w:val="ListNumber"/>
      </w:pPr>
      <w:r>
        <w:t>Emergency roof repair for Al Quoz data centre — AED 800,000 (prevent water ingress of servers).</w:t>
      </w:r>
    </w:p>
    <w:p>
      <w:pPr>
        <w:pStyle w:val="ListNumber"/>
      </w:pPr>
      <w:r>
        <w:t>Server-room HVAC replacement — AED 450,000.</w:t>
      </w:r>
    </w:p>
    <w:p>
      <w:pPr>
        <w:pStyle w:val="ListNumber"/>
      </w:pPr>
      <w:r>
        <w:t>Routine maintenance and utilities within budget.</w:t>
      </w:r>
    </w:p>
    <w:p>
      <w:r>
        <w:rPr>
          <w:b/>
        </w:rPr>
        <w:t>Policy &amp; Compliance Notes (Agent 4)</w:t>
      </w:r>
    </w:p>
    <w:p>
      <w:pPr>
        <w:pStyle w:val="ListBullet"/>
      </w:pPr>
      <w:r>
        <w:t>Emergency capital works can be approved under emergency procurement rules, but procurement code requires vendor invoice verification and a reconciliation / procurement investigation within 1 week of detection and completion within 90 days if overspend linked to procurement.</w:t>
      </w:r>
    </w:p>
    <w:p>
      <w:pPr>
        <w:pStyle w:val="ListBullet"/>
      </w:pPr>
      <w:r>
        <w:t>Variance &gt;10% requires escalation to Finance Committee per Variance Management Policy.</w:t>
      </w:r>
    </w:p>
    <w:p>
      <w:r>
        <w:rPr>
          <w:b/>
        </w:rPr>
        <w:t>Required Actions</w:t>
      </w:r>
    </w:p>
    <w:p>
      <w:pPr>
        <w:pStyle w:val="ListBullet"/>
      </w:pPr>
      <w:r>
        <w:t>CFO review (CFO/Facilities meeting) to confirm emergency approvals and vendor reconciliations.</w:t>
      </w:r>
    </w:p>
    <w:p>
      <w:pPr>
        <w:pStyle w:val="ListBullet"/>
      </w:pPr>
      <w:r>
        <w:t>Internal Audit to schedule a procurement reconciliation and completion of the 90-day investigation timeline for the emergency works (if applicable).</w:t>
      </w:r>
    </w:p>
    <w:p>
      <w:pPr>
        <w:pStyle w:val="ListBullet"/>
      </w:pPr>
      <w:r>
        <w:t>Present cost-benefit and longer-term facility remediation plan to Budget Office.</w:t>
      </w:r>
    </w:p>
    <w:p>
      <w:r>
        <w:t>Audit Risk: 🔴 HIGH for procurement documentation; moderate if vendor contracts and approvals are in order.</w:t>
      </w:r>
    </w:p>
    <w:p>
      <w:r>
        <w:t>────────────────────────────────────────────────────────────</w:t>
      </w:r>
    </w:p>
    <w:p>
      <w:pPr>
        <w:pStyle w:val="Heading3"/>
      </w:pPr>
      <w:r>
        <w:t>🚨 Finance &amp; Procurement Department — CRITICAL</w:t>
      </w:r>
    </w:p>
    <w:p>
      <w:r>
        <w:rPr>
          <w:b/>
        </w:rPr>
        <w:t>Variance Overview</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Approved Budget</w:t>
            </w:r>
          </w:p>
        </w:tc>
        <w:tc>
          <w:tcPr>
            <w:tcW w:type="dxa" w:w="4320"/>
          </w:tcPr>
          <w:p>
            <w:r>
              <w:t>AED 1,800,000</w:t>
            </w:r>
          </w:p>
        </w:tc>
      </w:tr>
      <w:tr>
        <w:tc>
          <w:tcPr>
            <w:tcW w:type="dxa" w:w="4320"/>
          </w:tcPr>
          <w:p>
            <w:r>
              <w:t>Actual Spend (reported)</w:t>
            </w:r>
          </w:p>
        </w:tc>
        <w:tc>
          <w:tcPr>
            <w:tcW w:type="dxa" w:w="4320"/>
          </w:tcPr>
          <w:p>
            <w:r>
              <w:t>AED 2,350,000</w:t>
            </w:r>
          </w:p>
        </w:tc>
      </w:tr>
      <w:tr>
        <w:tc>
          <w:tcPr>
            <w:tcW w:type="dxa" w:w="4320"/>
          </w:tcPr>
          <w:p>
            <w:r>
              <w:t>Variance</w:t>
            </w:r>
          </w:p>
        </w:tc>
        <w:tc>
          <w:tcPr>
            <w:tcW w:type="dxa" w:w="4320"/>
          </w:tcPr>
          <w:p>
            <w:r>
              <w:t>AED +550,000 (+30.6%)</w:t>
            </w:r>
          </w:p>
        </w:tc>
      </w:tr>
      <w:tr>
        <w:tc>
          <w:tcPr>
            <w:tcW w:type="dxa" w:w="4320"/>
          </w:tcPr>
          <w:p>
            <w:r>
              <w:t>Policy Status</w:t>
            </w:r>
          </w:p>
        </w:tc>
        <w:tc>
          <w:tcPr>
            <w:tcW w:type="dxa" w:w="4320"/>
          </w:tcPr>
          <w:p>
            <w:r>
              <w:t>🚨 CRITICAL (exceeds Board notification threshold &gt;25%)</w:t>
            </w:r>
          </w:p>
        </w:tc>
      </w:tr>
      <w:tr>
        <w:tc>
          <w:tcPr>
            <w:tcW w:type="dxa" w:w="4320"/>
          </w:tcPr>
          <w:p>
            <w:r>
              <w:t>Historical Trend (Agent 3 baseline)</w:t>
            </w:r>
          </w:p>
        </w:tc>
        <w:tc>
          <w:tcPr>
            <w:tcW w:type="dxa" w:w="4320"/>
          </w:tcPr>
          <w:p>
            <w:r>
              <w:t>Avg last 4 quarters variance: +10.4% → ↗️ WORSENING (+20.2pp)</w:t>
            </w:r>
          </w:p>
        </w:tc>
      </w:tr>
    </w:tbl>
    <w:p>
      <w:r>
        <w:rPr>
          <w:b/>
        </w:rPr>
        <w:t>Department Claims vs. Official Data</w:t>
      </w:r>
    </w:p>
    <w:p>
      <w:pPr>
        <w:pStyle w:val="ListBullet"/>
      </w:pPr>
      <w:r>
        <w:t>Claimed actual spend: AED 2,350,000</w:t>
      </w:r>
    </w:p>
    <w:p>
      <w:pPr>
        <w:pStyle w:val="ListBullet"/>
      </w:pPr>
      <w:r>
        <w:t>Official Q1 actuals: NOT AVAILABLE — reconciliation pending</w:t>
      </w:r>
    </w:p>
    <w:p>
      <w:pPr>
        <w:pStyle w:val="ListBullet"/>
      </w:pPr>
      <w:r>
        <w:t>Accuracy: ⚠️ UNVERIFIED (department provided narrative citing ERP upgrade and audit scope change; ledger verification required)</w:t>
      </w:r>
    </w:p>
    <w:p>
      <w:r>
        <w:rPr>
          <w:b/>
        </w:rPr>
        <w:t>Justifications Submitted</w:t>
      </w:r>
    </w:p>
    <w:p>
      <w:pPr>
        <w:pStyle w:val="ListNumber"/>
      </w:pPr>
      <w:r>
        <w:t>Mandatory ERP system module upgrade (security patch) — AED 350,000 (unbudgeted).</w:t>
      </w:r>
    </w:p>
    <w:p>
      <w:pPr>
        <w:pStyle w:val="ListNumber"/>
      </w:pPr>
      <w:r>
        <w:t>Expanded external audit scope for new digital procurement platform — AED 200,000.</w:t>
      </w:r>
    </w:p>
    <w:p>
      <w:pPr>
        <w:pStyle w:val="ListNumber"/>
      </w:pPr>
      <w:r>
        <w:t>Staff and procurement operations lines within budget.</w:t>
      </w:r>
    </w:p>
    <w:p>
      <w:r>
        <w:rPr>
          <w:b/>
        </w:rPr>
        <w:t>Policy &amp; Compliance Notes (Agent 4)</w:t>
      </w:r>
    </w:p>
    <w:p>
      <w:pPr>
        <w:pStyle w:val="ListBullet"/>
      </w:pPr>
      <w:r>
        <w:t>Variance &gt;25% triggers Board notification per EDA-FIN-POL-003 and FMA thresholds — Board-level escalation required.</w:t>
      </w:r>
    </w:p>
    <w:p>
      <w:pPr>
        <w:pStyle w:val="ListBullet"/>
      </w:pPr>
      <w:r>
        <w:t>Procurement Code requires vendor invoice verification and prohibits unauthorized contract amendments. ERP upgrade needs vendor contract review to confirm change order authorisation.</w:t>
      </w:r>
    </w:p>
    <w:p>
      <w:r>
        <w:rPr>
          <w:b/>
        </w:rPr>
        <w:t>Required Actions</w:t>
      </w:r>
    </w:p>
    <w:p>
      <w:pPr>
        <w:pStyle w:val="ListBullet"/>
      </w:pPr>
      <w:r>
        <w:t>Immediate Board notification and inclusion of FIN variance in the next Finance Committee meeting agenda (if not already submitted).</w:t>
      </w:r>
    </w:p>
    <w:p>
      <w:pPr>
        <w:pStyle w:val="ListBullet"/>
      </w:pPr>
      <w:r>
        <w:t>CFO / Finance Committee to review and approve overspend; evaluate whether the ERP upgrade qualifies as emergency/security-driven and thus pre-authorized.</w:t>
      </w:r>
    </w:p>
    <w:p>
      <w:pPr>
        <w:pStyle w:val="ListBullet"/>
      </w:pPr>
      <w:r>
        <w:t>Procurement to perform vendor reconciliation and contract amendment verification within 1 week (investigation timeframe per procurement guidelines).</w:t>
      </w:r>
    </w:p>
    <w:p>
      <w:pPr>
        <w:pStyle w:val="ListBullet"/>
      </w:pPr>
      <w:r>
        <w:t>Internal Audit to scope an expedited review (high priority).</w:t>
      </w:r>
    </w:p>
    <w:p>
      <w:r>
        <w:t>Remediation Plan (from department narrative)</w:t>
      </w:r>
    </w:p>
    <w:p>
      <w:pPr>
        <w:pStyle w:val="ListBullet"/>
      </w:pPr>
      <w:r>
        <w:t>Department requests Board review and has documented approvals where applicable. Proposed mitigation includes re-phasing some discretionary activities and applying savings from Q2 forecast to partially offset.</w:t>
      </w:r>
    </w:p>
    <w:p>
      <w:r>
        <w:t>Audit Risk: 🔴 VERY HIGH (given percentage and procurement implications). Board-level confirmation and vendor audit required.</w:t>
      </w:r>
    </w:p>
    <w:p>
      <w:r>
        <w:t>────────────────────────────────────────────────────────────</w:t>
      </w:r>
    </w:p>
    <w:p>
      <w:pPr>
        <w:pStyle w:val="Heading2"/>
      </w:pPr>
      <w:r>
        <w:t>⚠️ Required Actions &amp; Compliance Timeline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Dept</w:t>
            </w:r>
          </w:p>
        </w:tc>
        <w:tc>
          <w:tcPr>
            <w:tcW w:type="dxa" w:w="1234"/>
          </w:tcPr>
          <w:p>
            <w:r>
              <w:rPr>
                <w:b/>
              </w:rPr>
              <w:t>Var %</w:t>
            </w:r>
          </w:p>
        </w:tc>
        <w:tc>
          <w:tcPr>
            <w:tcW w:type="dxa" w:w="1234"/>
          </w:tcPr>
          <w:p>
            <w:r>
              <w:rPr>
                <w:b/>
              </w:rPr>
              <w:t>Status</w:t>
            </w:r>
          </w:p>
        </w:tc>
        <w:tc>
          <w:tcPr>
            <w:tcW w:type="dxa" w:w="1234"/>
          </w:tcPr>
          <w:p>
            <w:r>
              <w:rPr>
                <w:b/>
              </w:rPr>
              <w:t>Required Action</w:t>
            </w:r>
          </w:p>
        </w:tc>
        <w:tc>
          <w:tcPr>
            <w:tcW w:type="dxa" w:w="1234"/>
          </w:tcPr>
          <w:p>
            <w:r>
              <w:rPr>
                <w:b/>
              </w:rPr>
              <w:t>Authority</w:t>
            </w:r>
          </w:p>
        </w:tc>
        <w:tc>
          <w:tcPr>
            <w:tcW w:type="dxa" w:w="1234"/>
          </w:tcPr>
          <w:p>
            <w:r>
              <w:rPr>
                <w:b/>
              </w:rPr>
              <w:t>Deadline (policy-driven)</w:t>
            </w:r>
          </w:p>
        </w:tc>
        <w:tc>
          <w:tcPr>
            <w:tcW w:type="dxa" w:w="1234"/>
          </w:tcPr>
          <w:p>
            <w:r>
              <w:rPr>
                <w:b/>
              </w:rPr>
              <w:t>Current Status</w:t>
            </w:r>
          </w:p>
        </w:tc>
      </w:tr>
      <w:tr>
        <w:tc>
          <w:tcPr>
            <w:tcW w:type="dxa" w:w="1234"/>
          </w:tcPr>
          <w:p>
            <w:r>
              <w:t>FIN</w:t>
            </w:r>
          </w:p>
        </w:tc>
        <w:tc>
          <w:tcPr>
            <w:tcW w:type="dxa" w:w="1234"/>
          </w:tcPr>
          <w:p>
            <w:r>
              <w:t>+30.6%</w:t>
            </w:r>
          </w:p>
        </w:tc>
        <w:tc>
          <w:tcPr>
            <w:tcW w:type="dxa" w:w="1234"/>
          </w:tcPr>
          <w:p>
            <w:r>
              <w:t>🚨 CRITICAL</w:t>
            </w:r>
          </w:p>
        </w:tc>
        <w:tc>
          <w:tcPr>
            <w:tcW w:type="dxa" w:w="1234"/>
          </w:tcPr>
          <w:p>
            <w:r>
              <w:t>Board notification &amp; Finance Committee review; vendor contract reconciliation</w:t>
            </w:r>
          </w:p>
        </w:tc>
        <w:tc>
          <w:tcPr>
            <w:tcW w:type="dxa" w:w="1234"/>
          </w:tcPr>
          <w:p>
            <w:r>
              <w:t>Board / CFO / Procurement</w:t>
            </w:r>
          </w:p>
        </w:tc>
        <w:tc>
          <w:tcPr>
            <w:tcW w:type="dxa" w:w="1234"/>
          </w:tcPr>
          <w:p>
            <w:r>
              <w:t>Immediate — within 14 days of report</w:t>
            </w:r>
          </w:p>
        </w:tc>
        <w:tc>
          <w:tcPr>
            <w:tcW w:type="dxa" w:w="1234"/>
          </w:tcPr>
          <w:p>
            <w:r>
              <w:t>⚠️ Dept reported variance; independent verification pending</w:t>
            </w:r>
          </w:p>
        </w:tc>
      </w:tr>
      <w:tr>
        <w:tc>
          <w:tcPr>
            <w:tcW w:type="dxa" w:w="1234"/>
          </w:tcPr>
          <w:p>
            <w:r>
              <w:t>IT</w:t>
            </w:r>
          </w:p>
        </w:tc>
        <w:tc>
          <w:tcPr>
            <w:tcW w:type="dxa" w:w="1234"/>
          </w:tcPr>
          <w:p>
            <w:r>
              <w:t>+15.5%</w:t>
            </w:r>
          </w:p>
        </w:tc>
        <w:tc>
          <w:tcPr>
            <w:tcW w:type="dxa" w:w="1234"/>
          </w:tcPr>
          <w:p>
            <w:r>
              <w:t>🔶 SIGNIFICANT</w:t>
            </w:r>
          </w:p>
        </w:tc>
        <w:tc>
          <w:tcPr>
            <w:tcW w:type="dxa" w:w="1234"/>
          </w:tcPr>
          <w:p>
            <w:r>
              <w:t>IT Funding Board approval; provide incident &amp; technical impact assessment</w:t>
            </w:r>
          </w:p>
        </w:tc>
        <w:tc>
          <w:tcPr>
            <w:tcW w:type="dxa" w:w="1234"/>
          </w:tcPr>
          <w:p>
            <w:r>
              <w:t>IT Funding Board / CFO</w:t>
            </w:r>
          </w:p>
        </w:tc>
        <w:tc>
          <w:tcPr>
            <w:tcW w:type="dxa" w:w="1234"/>
          </w:tcPr>
          <w:p>
            <w:r>
              <w:t>Within 15 business days</w:t>
            </w:r>
          </w:p>
        </w:tc>
        <w:tc>
          <w:tcPr>
            <w:tcW w:type="dxa" w:w="1234"/>
          </w:tcPr>
          <w:p>
            <w:r>
              <w:t>⚠️ Dept provided narrative; verification pending</w:t>
            </w:r>
          </w:p>
        </w:tc>
      </w:tr>
      <w:tr>
        <w:tc>
          <w:tcPr>
            <w:tcW w:type="dxa" w:w="1234"/>
          </w:tcPr>
          <w:p>
            <w:r>
              <w:t>INF</w:t>
            </w:r>
          </w:p>
        </w:tc>
        <w:tc>
          <w:tcPr>
            <w:tcW w:type="dxa" w:w="1234"/>
          </w:tcPr>
          <w:p>
            <w:r>
              <w:t>+14.7%</w:t>
            </w:r>
          </w:p>
        </w:tc>
        <w:tc>
          <w:tcPr>
            <w:tcW w:type="dxa" w:w="1234"/>
          </w:tcPr>
          <w:p>
            <w:r>
              <w:t>🔶 SIGNIFICANT</w:t>
            </w:r>
          </w:p>
        </w:tc>
        <w:tc>
          <w:tcPr>
            <w:tcW w:type="dxa" w:w="1234"/>
          </w:tcPr>
          <w:p>
            <w:r>
              <w:t>CFO review; procurement vendor reconciliation; emergency work documentation</w:t>
            </w:r>
          </w:p>
        </w:tc>
        <w:tc>
          <w:tcPr>
            <w:tcW w:type="dxa" w:w="1234"/>
          </w:tcPr>
          <w:p>
            <w:r>
              <w:t>CFO / Procurement / Internal Audit</w:t>
            </w:r>
          </w:p>
        </w:tc>
        <w:tc>
          <w:tcPr>
            <w:tcW w:type="dxa" w:w="1234"/>
          </w:tcPr>
          <w:p>
            <w:r>
              <w:t>Initiate within 7 days; complete procurement review within 90 days</w:t>
            </w:r>
          </w:p>
        </w:tc>
        <w:tc>
          <w:tcPr>
            <w:tcW w:type="dxa" w:w="1234"/>
          </w:tcPr>
          <w:p>
            <w:r>
              <w:t>⚠️ Dept reported approvals; verification pending</w:t>
            </w:r>
          </w:p>
        </w:tc>
      </w:tr>
      <w:tr>
        <w:tc>
          <w:tcPr>
            <w:tcW w:type="dxa" w:w="1234"/>
          </w:tcPr>
          <w:p>
            <w:r>
              <w:t>HR</w:t>
            </w:r>
          </w:p>
        </w:tc>
        <w:tc>
          <w:tcPr>
            <w:tcW w:type="dxa" w:w="1234"/>
          </w:tcPr>
          <w:p>
            <w:r>
              <w:t>-5.4%</w:t>
            </w:r>
          </w:p>
        </w:tc>
        <w:tc>
          <w:tcPr>
            <w:tcW w:type="dxa" w:w="1234"/>
          </w:tcPr>
          <w:p>
            <w:r>
              <w:t>⚠️ MINOR</w:t>
            </w:r>
          </w:p>
        </w:tc>
        <w:tc>
          <w:tcPr>
            <w:tcW w:type="dxa" w:w="1234"/>
          </w:tcPr>
          <w:p>
            <w:r>
              <w:t>Dept head to confirm recruitment re-phase and confirm Q2 scheduling</w:t>
            </w:r>
          </w:p>
        </w:tc>
        <w:tc>
          <w:tcPr>
            <w:tcW w:type="dxa" w:w="1234"/>
          </w:tcPr>
          <w:p>
            <w:r>
              <w:t>Dept Head</w:t>
            </w:r>
          </w:p>
        </w:tc>
        <w:tc>
          <w:tcPr>
            <w:tcW w:type="dxa" w:w="1234"/>
          </w:tcPr>
          <w:p>
            <w:r>
              <w:t>Within 21 days</w:t>
            </w:r>
          </w:p>
        </w:tc>
        <w:tc>
          <w:tcPr>
            <w:tcW w:type="dxa" w:w="1234"/>
          </w:tcPr>
          <w:p>
            <w:r>
              <w:t>✅ In progress (recruitment deferred)</w:t>
            </w:r>
          </w:p>
        </w:tc>
      </w:tr>
      <w:tr>
        <w:tc>
          <w:tcPr>
            <w:tcW w:type="dxa" w:w="1234"/>
          </w:tcPr>
          <w:p>
            <w:r>
              <w:t>COM</w:t>
            </w:r>
          </w:p>
        </w:tc>
        <w:tc>
          <w:tcPr>
            <w:tcW w:type="dxa" w:w="1234"/>
          </w:tcPr>
          <w:p>
            <w:r>
              <w:t>-18.3%</w:t>
            </w:r>
          </w:p>
        </w:tc>
        <w:tc>
          <w:tcPr>
            <w:tcW w:type="dxa" w:w="1234"/>
          </w:tcPr>
          <w:p>
            <w:r>
              <w:t>🔵 UNDERSPEND</w:t>
            </w:r>
          </w:p>
        </w:tc>
        <w:tc>
          <w:tcPr>
            <w:tcW w:type="dxa" w:w="1234"/>
          </w:tcPr>
          <w:p>
            <w:r>
              <w:t>Confirm rescheduling of campaign and reallocation options</w:t>
            </w:r>
          </w:p>
        </w:tc>
        <w:tc>
          <w:tcPr>
            <w:tcW w:type="dxa" w:w="1234"/>
          </w:tcPr>
          <w:p>
            <w:r>
              <w:t>Dept Head / Budget Office</w:t>
            </w:r>
          </w:p>
        </w:tc>
        <w:tc>
          <w:tcPr>
            <w:tcW w:type="dxa" w:w="1234"/>
          </w:tcPr>
          <w:p>
            <w:r>
              <w:t>Within 21 days</w:t>
            </w:r>
          </w:p>
        </w:tc>
        <w:tc>
          <w:tcPr>
            <w:tcW w:type="dxa" w:w="1234"/>
          </w:tcPr>
          <w:p>
            <w:r>
              <w:t>✅ In progress (campaign rescheduled)</w:t>
            </w:r>
          </w:p>
        </w:tc>
      </w:tr>
      <w:tr>
        <w:tc>
          <w:tcPr>
            <w:tcW w:type="dxa" w:w="1234"/>
          </w:tcPr>
          <w:p>
            <w:r>
              <w:t>POL</w:t>
            </w:r>
          </w:p>
        </w:tc>
        <w:tc>
          <w:tcPr>
            <w:tcW w:type="dxa" w:w="1234"/>
          </w:tcPr>
          <w:p>
            <w:r>
              <w:t>-6.3%</w:t>
            </w:r>
          </w:p>
        </w:tc>
        <w:tc>
          <w:tcPr>
            <w:tcW w:type="dxa" w:w="1234"/>
          </w:tcPr>
          <w:p>
            <w:r>
              <w:t>⚠️ MINOR</w:t>
            </w:r>
          </w:p>
        </w:tc>
        <w:tc>
          <w:tcPr>
            <w:tcW w:type="dxa" w:w="1234"/>
          </w:tcPr>
          <w:p>
            <w:r>
              <w:t>Confirm contractor engagement timing and Q2 spend profile</w:t>
            </w:r>
          </w:p>
        </w:tc>
        <w:tc>
          <w:tcPr>
            <w:tcW w:type="dxa" w:w="1234"/>
          </w:tcPr>
          <w:p>
            <w:r>
              <w:t>Dept Head / Budget Office</w:t>
            </w:r>
          </w:p>
        </w:tc>
        <w:tc>
          <w:tcPr>
            <w:tcW w:type="dxa" w:w="1234"/>
          </w:tcPr>
          <w:p>
            <w:r>
              <w:t>Within 21 days</w:t>
            </w:r>
          </w:p>
        </w:tc>
        <w:tc>
          <w:tcPr>
            <w:tcW w:type="dxa" w:w="1234"/>
          </w:tcPr>
          <w:p>
            <w:r>
              <w:t>✅ In progress</w:t>
            </w:r>
          </w:p>
        </w:tc>
      </w:tr>
    </w:tbl>
    <w:p>
      <w:r>
        <w:t>Notes:</w:t>
      </w:r>
    </w:p>
    <w:p>
      <w:pPr>
        <w:pStyle w:val="ListBullet"/>
      </w:pPr>
      <w:r>
        <w:t>Per Budget Compliance Handbook and Variance Management Policy (Agent 4), variance detection reporting should occur no later than 14 days post-period-end and corrective action plans submitted within 21 days.</w:t>
      </w:r>
    </w:p>
    <w:p>
      <w:pPr>
        <w:pStyle w:val="ListBullet"/>
      </w:pPr>
      <w:r>
        <w:t>Departments have submitted narratives indicating internal approvals for emergency items; however, canonical ledger confirmation and procurement reconciliations are outstanding.</w:t>
      </w:r>
    </w:p>
    <w:p>
      <w:r>
        <w:t>────────────────────────────────────────────────────────────</w:t>
      </w:r>
    </w:p>
    <w:p>
      <w:pPr>
        <w:pStyle w:val="Heading2"/>
      </w:pPr>
      <w:r>
        <w:t>📈 Historical Trend Analysis</w:t>
      </w:r>
    </w:p>
    <w:p>
      <w:r>
        <w:t>Q1 2026 reported variances vs historical 4-quarter averages (Agent 3 baseline):</w:t>
      </w:r>
    </w:p>
    <w:p>
      <w:pPr>
        <w:pStyle w:val="ListBullet"/>
      </w:pPr>
      <w:r>
        <w:t>IT: Q1 +15.5% vs avg +8.6% — ↗️ WORSENING by 6.9pp</w:t>
      </w:r>
    </w:p>
    <w:p>
      <w:pPr>
        <w:pStyle w:val="ListBullet"/>
      </w:pPr>
      <w:r>
        <w:t>INF: Q1 +14.7% vs avg +5.8% — ↗️ WORSENING by 8.9pp</w:t>
      </w:r>
    </w:p>
    <w:p>
      <w:pPr>
        <w:pStyle w:val="ListBullet"/>
      </w:pPr>
      <w:r>
        <w:t>FIN: Q1 +30.6% vs avg +10.4% — ↗️ WORSENING by 20.2pp</w:t>
      </w:r>
    </w:p>
    <w:p>
      <w:pPr>
        <w:pStyle w:val="ListBullet"/>
      </w:pPr>
      <w:r>
        <w:t>HR: Q1 -5.4% vs avg -2.1% — ↘️ IMPROVING (greater underspend)</w:t>
      </w:r>
    </w:p>
    <w:p>
      <w:pPr>
        <w:pStyle w:val="ListBullet"/>
      </w:pPr>
      <w:r>
        <w:t>POL: Q1 -6.3% vs avg +1.3% — ↘️ IMPROVING (shift to underspend)</w:t>
      </w:r>
    </w:p>
    <w:p>
      <w:pPr>
        <w:pStyle w:val="ListBullet"/>
      </w:pPr>
      <w:r>
        <w:t>COM: Q1 -18.3% vs avg -0.5% — ↘️ IMPROVING (campaign reschedule)</w:t>
      </w:r>
    </w:p>
    <w:p>
      <w:r>
        <w:t>Overall assessment:</w:t>
      </w:r>
    </w:p>
    <w:p>
      <w:pPr>
        <w:pStyle w:val="ListBullet"/>
      </w:pPr>
      <w:r>
        <w:t>The overspends in FIN, IT and INF appear to be above historical patterns and therefore represent potential structural or event-driven shifts rather than a routine fluctuation. Given missing official Q1 ledger entries, confirm that increased Q1 spend is not an artefact of reclassification or timing differences before adjusting FY2026 forecasts.</w:t>
      </w:r>
    </w:p>
    <w:p>
      <w:r>
        <w:t>────────────────────────────────────────────────────────────</w:t>
      </w:r>
    </w:p>
    <w:p>
      <w:pPr>
        <w:pStyle w:val="Heading2"/>
      </w:pPr>
      <w:r>
        <w:t>🎯 Policy &amp; Regulatory Compliance Assessment</w:t>
      </w:r>
    </w:p>
    <w:p>
      <w:r>
        <w:t>Synthesis of Agent 4 policy guidance and current findings:</w:t>
      </w:r>
    </w:p>
    <w:p>
      <w:pPr>
        <w:pStyle w:val="ListBullet"/>
      </w:pPr>
      <w:r>
        <w:t>Financial Management Act (FMA) requires variance reports for deviations &gt;5% and corrective plans within 30 days. Departments have submitted narratives; ensure formal variance logs (Form VMP-22 or FMA-BUDJ-21 where reallocations required) are filed.</w:t>
      </w:r>
    </w:p>
    <w:p>
      <w:pPr>
        <w:pStyle w:val="ListBullet"/>
      </w:pPr>
      <w:r>
        <w:t>Variance Thresholds (Variance Management Policy):</w:t>
      </w:r>
    </w:p>
    <w:p>
      <w:pPr>
        <w:pStyle w:val="ListBullet"/>
      </w:pPr>
      <w:r>
        <w:t>&gt;10%: escalate to Finance Committee — applies to IT, INF, FIN.</w:t>
      </w:r>
    </w:p>
    <w:p>
      <w:pPr>
        <w:pStyle w:val="ListBullet"/>
      </w:pPr>
      <w:r>
        <w:t>&gt;25%: Board notification — applies to FIN (reported +30.6%).</w:t>
      </w:r>
    </w:p>
    <w:p>
      <w:pPr>
        <w:pStyle w:val="ListBullet"/>
      </w:pPr>
      <w:r>
        <w:t>IT Budget &amp; Technology Guidance (2025): IT overspend beyond 15% requires IT Funding Board approval and technical impact assessment — IT reported +15.5% (requires escalation).</w:t>
      </w:r>
    </w:p>
    <w:p>
      <w:pPr>
        <w:pStyle w:val="ListBullet"/>
      </w:pPr>
      <w:r>
        <w:t>Procurement Code: procurement-related overspends (ERP upgrade, emergency works) require vendor invoice reconciliation and initiation of an investigation within 1 week of detection.</w:t>
      </w:r>
    </w:p>
    <w:p>
      <w:pPr>
        <w:pStyle w:val="ListBullet"/>
      </w:pPr>
      <w:r>
        <w:t>Compliance Timelines (Budget Compliance Handbook):</w:t>
      </w:r>
    </w:p>
    <w:p>
      <w:pPr>
        <w:pStyle w:val="ListBullet"/>
      </w:pPr>
      <w:r>
        <w:t>Variance detection/reporting: no later than 14 days post-period-end.</w:t>
      </w:r>
    </w:p>
    <w:p>
      <w:pPr>
        <w:pStyle w:val="ListBullet"/>
      </w:pPr>
      <w:r>
        <w:t>Corrective action plan: within 21 days.</w:t>
      </w:r>
    </w:p>
    <w:p>
      <w:pPr>
        <w:pStyle w:val="ListBullet"/>
      </w:pPr>
      <w:r>
        <w:t>Quarterly audits: Internal Audit to include these variances in next audit cycle.</w:t>
      </w:r>
    </w:p>
    <w:p>
      <w:r>
        <w:t>Regulatory Risks Identified:</w:t>
      </w:r>
    </w:p>
    <w:p>
      <w:pPr>
        <w:pStyle w:val="ListBullet"/>
      </w:pPr>
      <w:r>
        <w:t>FIN: High risk of mandatory Board action and increased scrutiny; potential funding reallocation if justification is incomplete.</w:t>
      </w:r>
    </w:p>
    <w:p>
      <w:pPr>
        <w:pStyle w:val="ListBullet"/>
      </w:pPr>
      <w:r>
        <w:t>IT/INF: Risk of procurement non-compliance if emergency procurements or change orders are not properly authorized and documented.</w:t>
      </w:r>
    </w:p>
    <w:p>
      <w:pPr>
        <w:pStyle w:val="ListBullet"/>
      </w:pPr>
      <w:r>
        <w:t>All: Failure to file formal variance forms or meet reporting deadlines may trigger formal warnings or funding adjustments.</w:t>
      </w:r>
    </w:p>
    <w:p>
      <w:r>
        <w:t>Policy citations (select):</w:t>
      </w:r>
    </w:p>
    <w:p>
      <w:r>
        <w:t>&gt; "Departments are required to provide variance reports when deviations exceed 5% ... Variance reports must be submitted within 30 days." — Financial Management Act, Section 34.1 (Agent 4)</w:t>
      </w:r>
    </w:p>
    <w:p>
      <w:r>
        <w:t>&gt;</w:t>
      </w:r>
    </w:p>
    <w:p>
      <w:r>
        <w:t>&gt; "IT departments must adhere to the cap of 15% variance for overspend related to new technology implementation. Any excess requires approval from EDA’s IT Funding Board." — IT Budget &amp; Technology Spending Guidance (2025 Update), Chapter 3 (Agent 4)</w:t>
      </w:r>
    </w:p>
    <w:p>
      <w:r>
        <w:t>────────────────────────────────────────────────────────────</w:t>
      </w:r>
    </w:p>
    <w:p>
      <w:pPr>
        <w:pStyle w:val="Heading2"/>
      </w:pPr>
      <w:r>
        <w:t>💡 Recommendations</w:t>
      </w:r>
    </w:p>
    <w:p>
      <w:pPr>
        <w:pStyle w:val="ListNumber"/>
      </w:pPr>
      <w:r>
        <w:t>FIN — Board Notification &amp; Conditional Approval</w:t>
      </w:r>
    </w:p>
    <w:p>
      <w:pPr>
        <w:pStyle w:val="ListBullet"/>
      </w:pPr>
      <w:r>
        <w:t>Immediately confirm Board notification has been submitted (per EDA-FIN-POL-003). If not yet submitted, CFO to escalate within 48 hours.</w:t>
      </w:r>
    </w:p>
    <w:p>
      <w:pPr>
        <w:pStyle w:val="ListBullet"/>
      </w:pPr>
      <w:r>
        <w:t>Condition approval on procurement reconciliation and confirmation that ERP upgrade qualifies as mandatory/security (show vendor change order and authorisation).</w:t>
      </w:r>
    </w:p>
    <w:p>
      <w:pPr>
        <w:pStyle w:val="ListBullet"/>
      </w:pPr>
      <w:r>
        <w:t>Commission Internal Audit rapid review focused on procurement and expanded audit fees.</w:t>
      </w:r>
    </w:p>
    <w:p>
      <w:pPr>
        <w:pStyle w:val="ListNumber"/>
      </w:pPr>
      <w:r>
        <w:t>IT — Approve with Controls</w:t>
      </w:r>
    </w:p>
    <w:p>
      <w:pPr>
        <w:pStyle w:val="ListBullet"/>
      </w:pPr>
      <w:r>
        <w:t>Require IT Funding Board approval for the +0.5pp excess beyond the 15% IT cap. Provide technical impact assessment and ransomware incident report.</w:t>
      </w:r>
    </w:p>
    <w:p>
      <w:pPr>
        <w:pStyle w:val="ListBullet"/>
      </w:pPr>
      <w:r>
        <w:t>Implement cloud-cost governance: monthly cloud spend reporting to CFO for Q2, and accelerate reserved-instance and optimization commitments (projected savings ~AED 150–200K/quarter).</w:t>
      </w:r>
    </w:p>
    <w:p>
      <w:pPr>
        <w:pStyle w:val="ListNumber"/>
      </w:pPr>
      <w:r>
        <w:t>INF — CFO Review &amp; Procurement Reconciliation</w:t>
      </w:r>
    </w:p>
    <w:p>
      <w:pPr>
        <w:pStyle w:val="ListBullet"/>
      </w:pPr>
      <w:r>
        <w:t>CFO to validate emergency repair approvals and instruct Procurement to complete vendor reconciliation and contract review within the procurement-code timelines.</w:t>
      </w:r>
    </w:p>
    <w:p>
      <w:pPr>
        <w:pStyle w:val="ListBullet"/>
      </w:pPr>
      <w:r>
        <w:t>Consider a facilities contingency buffer in FY2027 planning (+10% recommended) for climate / emergency work volatility.</w:t>
      </w:r>
    </w:p>
    <w:p>
      <w:pPr>
        <w:pStyle w:val="ListNumber"/>
      </w:pPr>
      <w:r>
        <w:t>Short-term Budget Offsets</w:t>
      </w:r>
    </w:p>
    <w:p>
      <w:pPr>
        <w:pStyle w:val="ListBullet"/>
      </w:pPr>
      <w:r>
        <w:t>Use part of HR and COM underspends to offset short-term cash flow pressure. HR underspend (AED 150,000) and COM underspend (AED 220,000) can be temporarily reallocated subject to FMA-BUDJ-21 and Budget Office approval.</w:t>
      </w:r>
    </w:p>
    <w:p>
      <w:pPr>
        <w:pStyle w:val="ListBullet"/>
      </w:pPr>
      <w:r>
        <w:t>Accelerate some HR hiring in Q2 to utilize approved headcount where operationally necessary.</w:t>
      </w:r>
    </w:p>
    <w:p>
      <w:pPr>
        <w:pStyle w:val="ListNumber"/>
      </w:pPr>
      <w:r>
        <w:t>Data &amp; Process Fixes (Urgent)</w:t>
      </w:r>
    </w:p>
    <w:p>
      <w:pPr>
        <w:pStyle w:val="ListBullet"/>
      </w:pPr>
      <w:r>
        <w:t>Resolve the canonical dataset gap: reconcile departmental reported Q1 actuals with the official ledger and update the authoritative CSVs. Responsible: Finance Data Team — complete within 7 business days.</w:t>
      </w:r>
    </w:p>
    <w:p>
      <w:pPr>
        <w:pStyle w:val="ListBullet"/>
      </w:pPr>
      <w:r>
        <w:t>Standardize variance filing: ensure all departments submit Form VMP-22 and any FMA-BUDJ-21 forms where reallocation &gt; AED 1M is needed.</w:t>
      </w:r>
    </w:p>
    <w:p>
      <w:pPr>
        <w:pStyle w:val="ListBullet"/>
      </w:pPr>
      <w:r>
        <w:t>Institute monthly variance reviews for IT, FIN and INF for the remainder of FY2026.</w:t>
      </w:r>
    </w:p>
    <w:p>
      <w:pPr>
        <w:pStyle w:val="ListNumber"/>
      </w:pPr>
      <w:r>
        <w:t>External Validation</w:t>
      </w:r>
    </w:p>
    <w:p>
      <w:pPr>
        <w:pStyle w:val="ListBullet"/>
      </w:pPr>
      <w:r>
        <w:t>Re-run economic validation (Agent 2) to confirm whether sectoral cost drivers (cloud pricing, cybersecurity risk, energy and cooling costs) substantiate the department justifications.</w:t>
      </w:r>
    </w:p>
    <w:p>
      <w:r>
        <w:t>────────────────────────────────────────────────────────────</w:t>
      </w:r>
    </w:p>
    <w:p>
      <w:pPr>
        <w:pStyle w:val="Heading2"/>
      </w:pPr>
      <w:r>
        <w:t>📝 Data Quality &amp; Methodology Notes</w:t>
      </w:r>
    </w:p>
    <w:p>
      <w:r>
        <w:rPr>
          <w:b/>
        </w:rPr>
        <w:t>Data Sources</w:t>
      </w:r>
    </w:p>
    <w:p>
      <w:pPr>
        <w:pStyle w:val="ListBullet"/>
      </w:pPr>
      <w:r>
        <w:t>Department narratives and itemised breakdowns: supplied in the original departmental report (Agent 1).</w:t>
      </w:r>
    </w:p>
    <w:p>
      <w:pPr>
        <w:pStyle w:val="ListBullet"/>
      </w:pPr>
      <w:r>
        <w:t>Official approved budgets and historical CSVs: supplied to Agent 3 (approved budgets file present; official actuals file lacked Q1 2026 actual rows).</w:t>
      </w:r>
    </w:p>
    <w:p>
      <w:pPr>
        <w:pStyle w:val="ListBullet"/>
      </w:pPr>
      <w:r>
        <w:t>Policy guidance: Agent 4 (Foundry IQ) searched and summarised relevant policy documents.</w:t>
      </w:r>
    </w:p>
    <w:p>
      <w:r>
        <w:rPr>
          <w:b/>
        </w:rPr>
        <w:t>Data Quality (Agent 3)</w:t>
      </w:r>
    </w:p>
    <w:p>
      <w:pPr>
        <w:pStyle w:val="ListBullet"/>
      </w:pPr>
      <w:r>
        <w:t>✅ Approved Q1 budget totals consistent: AED 19,450,000.</w:t>
      </w:r>
    </w:p>
    <w:p>
      <w:pPr>
        <w:pStyle w:val="ListBullet"/>
      </w:pPr>
      <w:r>
        <w:t>❌ Missing Q1 2026 actuals in the official actuals CSV — prevented independent reconciliation of reported actuals (Agent 3 key finding).</w:t>
      </w:r>
    </w:p>
    <w:p>
      <w:pPr>
        <w:pStyle w:val="ListBullet"/>
      </w:pPr>
      <w:r>
        <w:t>❌ Departments listed in official actuals for Q1 2026: missing for all six departments; thus claim accuracy cannot be validated against canonical ledgers.</w:t>
      </w:r>
    </w:p>
    <w:p>
      <w:pPr>
        <w:pStyle w:val="ListBullet"/>
      </w:pPr>
      <w:r>
        <w:t>Departments provided internal documentation (COO/CIO approvals, inspection reports) per their narratives; those documents should be matched to ledger entries.</w:t>
      </w:r>
    </w:p>
    <w:p>
      <w:r>
        <w:rPr>
          <w:b/>
        </w:rPr>
        <w:t>Limitations</w:t>
      </w:r>
    </w:p>
    <w:p>
      <w:pPr>
        <w:pStyle w:val="ListBullet"/>
      </w:pPr>
      <w:r>
        <w:t>Economic/contextual external validation (Agent 2) not provided — sector confirmations are UNVERIFIED.</w:t>
      </w:r>
    </w:p>
    <w:p>
      <w:pPr>
        <w:pStyle w:val="ListBullet"/>
      </w:pPr>
      <w:r>
        <w:t>Official ledger verification for Q1 2026 is outstanding; all variance flags and recommendations assume department narratives are factual until proven otherwise.</w:t>
      </w:r>
    </w:p>
    <w:p>
      <w:r>
        <w:t>────────────────────────────────────────────────────────────</w:t>
      </w:r>
    </w:p>
    <w:p>
      <w:pPr>
        <w:pStyle w:val="Heading2"/>
      </w:pPr>
      <w:r>
        <w:t>✅ Audit Trail</w:t>
      </w:r>
    </w:p>
    <w:p>
      <w:r>
        <w:t>This report synthesizes outputs from the multi-agent workflow:</w:t>
      </w:r>
    </w:p>
    <w:p>
      <w:pPr>
        <w:pStyle w:val="ListNumber"/>
      </w:pPr>
      <w:r>
        <w:t>Agent 1 (MCP): Department-submitted narratives and justifications (original report).</w:t>
      </w:r>
    </w:p>
    <w:p>
      <w:pPr>
        <w:pStyle w:val="ListNumber"/>
      </w:pPr>
      <w:r>
        <w:t>Agent 2 (Web Search): Economic context — NO DATA PROVIDED (re-run required).</w:t>
      </w:r>
    </w:p>
    <w:p>
      <w:pPr>
        <w:pStyle w:val="ListNumber"/>
      </w:pPr>
      <w:r>
        <w:t>Agent 3 (Code Interpreter): Official CSV analysis — identified missing Q1 2026 actuals; computed historical baselines; flagged reconciliation gaps. (analysis_date: 2026-03-30)</w:t>
      </w:r>
    </w:p>
    <w:p>
      <w:pPr>
        <w:pStyle w:val="ListNumber"/>
      </w:pPr>
      <w:r>
        <w:t>Agent 4 (Foundry IQ): Policy and compliance guidance (Financial Management Act, IT Guidance, Procurement Code, Variance Management Policy).</w:t>
      </w:r>
    </w:p>
    <w:p>
      <w:pPr>
        <w:pStyle w:val="ListNumber"/>
      </w:pPr>
      <w:r>
        <w:t>Agent 5 (Summary): This executive synthesis.</w:t>
      </w:r>
    </w:p>
    <w:p>
      <w:pPr>
        <w:pStyle w:val="ListNumber"/>
      </w:pPr>
      <w:r>
        <w:t>Agent 6 (Outlook): (Will manage distribution / stakeholder notifications per workflow.)</w:t>
      </w:r>
    </w:p>
    <w:p>
      <w:r>
        <w:t>Generated: 2026-03-30T00:00:00Z (UTC)</w:t>
      </w:r>
    </w:p>
    <w:p>
      <w:r>
        <w:t>Next Review: Q2 2026 (July 2026) — or earlier following ledger reconciliation</w:t>
      </w:r>
    </w:p>
    <w:p>
      <w:r>
        <w:t>────────────────────────────────────────────────────────────</w:t>
      </w:r>
    </w:p>
    <w:p>
      <w:r>
        <w:t>Prepared for the CFO, Finance Committee, and Board of Directors by the Multi-Agent Budget Analysis Workflow.</w:t>
      </w:r>
    </w:p>
    <w:p>
      <w:r>
        <w:t>If you would like, I will:</w:t>
      </w:r>
    </w:p>
    <w:p>
      <w:pPr>
        <w:pStyle w:val="ListBullet"/>
      </w:pPr>
      <w:r>
        <w:t>(A) Initiate a reconciliation request to the Finance Data Team to import and validate Q1 2026 official actuals (recommended — priority), and/or</w:t>
      </w:r>
    </w:p>
    <w:p>
      <w:pPr>
        <w:pStyle w:val="ListBullet"/>
      </w:pPr>
      <w:r>
        <w:t>(B) Run an economic validation pass (Agent 2) to confirm IT / INF / FIN sector drivers for Q1 2026.</w:t>
      </w:r>
    </w:p>
    <w:p>
      <w:r>
        <w:t>Which would you like me to action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