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Variance Analysis Report — Q1 2026</w:t>
      </w:r>
    </w:p>
    <w:p>
      <w:r>
        <w:t>Organisation: Apex Digital Government Authority (ADGA)</w:t>
      </w:r>
    </w:p>
    <w:p>
      <w:r>
        <w:t>Period: January – March 2026 (Q1 FY2026)</w:t>
      </w:r>
    </w:p>
    <w:p>
      <w:r>
        <w:t>Report Date: 2026-03-30</w:t>
      </w:r>
    </w:p>
    <w:p>
      <w:r>
        <w:t>Prepared by: Multi-Agent Budget Analysis Workflow</w:t>
      </w:r>
    </w:p>
    <w:p>
      <w:r>
        <w:t>Classification: Internal — Finance &amp; Senior Leadership Only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Executive Summary</w:t>
      </w:r>
    </w:p>
    <w:p>
      <w:r>
        <w:t>Overall position shows a net overspend of AED 1,070,000 (+5.5%) against approved Q1 budget, classified as a MINOR overall variance under policy thresholds. Of six departments, 0 are CRITICAL and 1 is SIGNIFICANT (Finance &amp; Procurement). Key compliance issues: a CFO approval for Finance is required (deadline previously set and now overdue) and Infrastructure must submit formal justification for a &gt;5% variance. Top recommendation: approve Finance overspend conditionally (CFO reallocation approval) and require immediate remedial reporting from Finance and Infrastructure.</w:t>
      </w:r>
    </w:p>
    <w:p>
      <w:r>
        <w:t>Key Highlights:</w:t>
      </w:r>
    </w:p>
    <w:p>
      <w:pPr>
        <w:pStyle w:val="ListBullet"/>
      </w:pPr>
      <w:r>
        <w:t>🚨 0 department(s) require Board notification</w:t>
      </w:r>
    </w:p>
    <w:p>
      <w:pPr>
        <w:pStyle w:val="ListBullet"/>
      </w:pPr>
      <w:r>
        <w:t>🔶 1 department(s) require CFO approval</w:t>
      </w:r>
    </w:p>
    <w:p>
      <w:pPr>
        <w:pStyle w:val="ListBullet"/>
      </w:pPr>
      <w:r>
        <w:t>✅ Overall compliance status: ISSUES_IDENTIFIED (timely reporting OK, but escalation actions are pending/overdue)</w:t>
      </w:r>
    </w:p>
    <w:p>
      <w:pPr>
        <w:pStyle w:val="ListBullet"/>
      </w:pPr>
      <w:r>
        <w:t>📈 Economic context: UNCLEAR / NOT PROVIDED (external validation data from Agent 2 was not available in this run)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💰 Overall Budget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Approved Budget (Q1)</w:t>
            </w:r>
          </w:p>
        </w:tc>
        <w:tc>
          <w:tcPr>
            <w:tcW w:type="dxa" w:w="4320"/>
          </w:tcPr>
          <w:p>
            <w:r>
              <w:t>AED 19,350,000</w:t>
            </w:r>
          </w:p>
        </w:tc>
      </w:tr>
      <w:tr>
        <w:tc>
          <w:tcPr>
            <w:tcW w:type="dxa" w:w="4320"/>
          </w:tcPr>
          <w:p>
            <w:r>
              <w:t>Total Actual Spend (Q1)</w:t>
            </w:r>
          </w:p>
        </w:tc>
        <w:tc>
          <w:tcPr>
            <w:tcW w:type="dxa" w:w="4320"/>
          </w:tcPr>
          <w:p>
            <w:r>
              <w:t>AED 20,420,000</w:t>
            </w:r>
          </w:p>
        </w:tc>
      </w:tr>
      <w:tr>
        <w:tc>
          <w:tcPr>
            <w:tcW w:type="dxa" w:w="4320"/>
          </w:tcPr>
          <w:p>
            <w:r>
              <w:t>Total Variance</w:t>
            </w:r>
          </w:p>
        </w:tc>
        <w:tc>
          <w:tcPr>
            <w:tcW w:type="dxa" w:w="4320"/>
          </w:tcPr>
          <w:p>
            <w:r>
              <w:t>AED +1,070,000 (+5.5%)</w:t>
            </w:r>
          </w:p>
        </w:tc>
      </w:tr>
      <w:tr>
        <w:tc>
          <w:tcPr>
            <w:tcW w:type="dxa" w:w="4320"/>
          </w:tcPr>
          <w:p>
            <w:r>
              <w:t>Overall Policy Status</w:t>
            </w:r>
          </w:p>
        </w:tc>
        <w:tc>
          <w:tcPr>
            <w:tcW w:type="dxa" w:w="4320"/>
          </w:tcPr>
          <w:p>
            <w:r>
              <w:t>⚠️ MINOR (policy thresholds)</w:t>
            </w:r>
          </w:p>
        </w:tc>
      </w:tr>
      <w:tr>
        <w:tc>
          <w:tcPr>
            <w:tcW w:type="dxa" w:w="4320"/>
          </w:tcPr>
          <w:p>
            <w:r>
              <w:t>Departments Over Budget</w:t>
            </w:r>
          </w:p>
        </w:tc>
        <w:tc>
          <w:tcPr>
            <w:tcW w:type="dxa" w:w="4320"/>
          </w:tcPr>
          <w:p>
            <w:r>
              <w:t>5 of 6</w:t>
            </w:r>
          </w:p>
        </w:tc>
      </w:tr>
      <w:tr>
        <w:tc>
          <w:tcPr>
            <w:tcW w:type="dxa" w:w="4320"/>
          </w:tcPr>
          <w:p>
            <w:r>
              <w:t>Departments Under Budget</w:t>
            </w:r>
          </w:p>
        </w:tc>
        <w:tc>
          <w:tcPr>
            <w:tcW w:type="dxa" w:w="4320"/>
          </w:tcPr>
          <w:p>
            <w:r>
              <w:t>1 of 6</w:t>
            </w:r>
          </w:p>
        </w:tc>
      </w:tr>
      <w:tr>
        <w:tc>
          <w:tcPr>
            <w:tcW w:type="dxa" w:w="4320"/>
          </w:tcPr>
          <w:p>
            <w:r>
              <w:t>Claim Accuracy</w:t>
            </w:r>
          </w:p>
        </w:tc>
        <w:tc>
          <w:tcPr>
            <w:tcW w:type="dxa" w:w="4320"/>
          </w:tcPr>
          <w:p>
            <w:r>
              <w:t>0% — No departmental narrative claims were provided for reconciliation (NO_CLAIM_DATA)</w:t>
            </w:r>
          </w:p>
        </w:tc>
      </w:tr>
    </w:tbl>
    <w:p>
      <w:r>
        <w:t>Note: Official actuals for Q1 2026 were not available; analysis uses the latest available official quarter (Q4 2025). See Data Quality notes below.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📋 Department Variance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Dept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Department Name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Approved (AED)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Actual (AED)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Variance (AED)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Var %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Claim Accuracy</w:t>
            </w:r>
          </w:p>
        </w:tc>
      </w:tr>
      <w:tr>
        <w:tc>
          <w:tcPr>
            <w:tcW w:type="dxa" w:w="960"/>
          </w:tcPr>
          <w:p>
            <w:r>
              <w:t>IT</w:t>
            </w:r>
          </w:p>
        </w:tc>
        <w:tc>
          <w:tcPr>
            <w:tcW w:type="dxa" w:w="960"/>
          </w:tcPr>
          <w:p>
            <w:r>
              <w:t>Information Technology</w:t>
            </w:r>
          </w:p>
        </w:tc>
        <w:tc>
          <w:tcPr>
            <w:tcW w:type="dxa" w:w="960"/>
          </w:tcPr>
          <w:p>
            <w:r>
              <w:t>4,200,000</w:t>
            </w:r>
          </w:p>
        </w:tc>
        <w:tc>
          <w:tcPr>
            <w:tcW w:type="dxa" w:w="960"/>
          </w:tcPr>
          <w:p>
            <w:r>
              <w:t>4,390,000</w:t>
            </w:r>
          </w:p>
        </w:tc>
        <w:tc>
          <w:tcPr>
            <w:tcW w:type="dxa" w:w="960"/>
          </w:tcPr>
          <w:p>
            <w:r>
              <w:t>+190,000</w:t>
            </w:r>
          </w:p>
        </w:tc>
        <w:tc>
          <w:tcPr>
            <w:tcW w:type="dxa" w:w="960"/>
          </w:tcPr>
          <w:p>
            <w:r>
              <w:t>+4.52%</w:t>
            </w:r>
          </w:p>
        </w:tc>
        <w:tc>
          <w:tcPr>
            <w:tcW w:type="dxa" w:w="960"/>
          </w:tcPr>
          <w:p>
            <w:r>
              <w:t>✅ ACCEPTABLE</w:t>
            </w:r>
          </w:p>
        </w:tc>
        <w:tc>
          <w:tcPr>
            <w:tcW w:type="dxa" w:w="960"/>
          </w:tcPr>
          <w:p>
            <w:r>
              <w:t>→ STABLE</w:t>
            </w:r>
          </w:p>
        </w:tc>
        <w:tc>
          <w:tcPr>
            <w:tcW w:type="dxa" w:w="960"/>
          </w:tcPr>
          <w:p>
            <w:r>
              <w:t>⚠️ NO CLAIM DATA</w:t>
            </w:r>
          </w:p>
        </w:tc>
      </w:tr>
      <w:tr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Human Resources</w:t>
            </w:r>
          </w:p>
        </w:tc>
        <w:tc>
          <w:tcPr>
            <w:tcW w:type="dxa" w:w="960"/>
          </w:tcPr>
          <w:p>
            <w:r>
              <w:t>2,750,000</w:t>
            </w:r>
          </w:p>
        </w:tc>
        <w:tc>
          <w:tcPr>
            <w:tcW w:type="dxa" w:w="960"/>
          </w:tcPr>
          <w:p>
            <w:r>
              <w:t>2,820,000</w:t>
            </w:r>
          </w:p>
        </w:tc>
        <w:tc>
          <w:tcPr>
            <w:tcW w:type="dxa" w:w="960"/>
          </w:tcPr>
          <w:p>
            <w:r>
              <w:t>+70,000</w:t>
            </w:r>
          </w:p>
        </w:tc>
        <w:tc>
          <w:tcPr>
            <w:tcW w:type="dxa" w:w="960"/>
          </w:tcPr>
          <w:p>
            <w:r>
              <w:t>+2.55%</w:t>
            </w:r>
          </w:p>
        </w:tc>
        <w:tc>
          <w:tcPr>
            <w:tcW w:type="dxa" w:w="960"/>
          </w:tcPr>
          <w:p>
            <w:r>
              <w:t>✅ ACCEPTABLE</w:t>
            </w:r>
          </w:p>
        </w:tc>
        <w:tc>
          <w:tcPr>
            <w:tcW w:type="dxa" w:w="960"/>
          </w:tcPr>
          <w:p>
            <w:r>
              <w:t>→ STABLE</w:t>
            </w:r>
          </w:p>
        </w:tc>
        <w:tc>
          <w:tcPr>
            <w:tcW w:type="dxa" w:w="960"/>
          </w:tcPr>
          <w:p>
            <w:r>
              <w:t>⚠️ NO CLAIM DATA</w:t>
            </w:r>
          </w:p>
        </w:tc>
      </w:tr>
      <w:tr>
        <w:tc>
          <w:tcPr>
            <w:tcW w:type="dxa" w:w="960"/>
          </w:tcPr>
          <w:p>
            <w:r>
              <w:t>INF</w:t>
            </w:r>
          </w:p>
        </w:tc>
        <w:tc>
          <w:tcPr>
            <w:tcW w:type="dxa" w:w="960"/>
          </w:tcPr>
          <w:p>
            <w:r>
              <w:t>Infrastructure &amp; Facilities</w:t>
            </w:r>
          </w:p>
        </w:tc>
        <w:tc>
          <w:tcPr>
            <w:tcW w:type="dxa" w:w="960"/>
          </w:tcPr>
          <w:p>
            <w:r>
              <w:t>8,500,000</w:t>
            </w:r>
          </w:p>
        </w:tc>
        <w:tc>
          <w:tcPr>
            <w:tcW w:type="dxa" w:w="960"/>
          </w:tcPr>
          <w:p>
            <w:r>
              <w:t>9,120,000</w:t>
            </w:r>
          </w:p>
        </w:tc>
        <w:tc>
          <w:tcPr>
            <w:tcW w:type="dxa" w:w="960"/>
          </w:tcPr>
          <w:p>
            <w:r>
              <w:t>+620,000</w:t>
            </w:r>
          </w:p>
        </w:tc>
        <w:tc>
          <w:tcPr>
            <w:tcW w:type="dxa" w:w="960"/>
          </w:tcPr>
          <w:p>
            <w:r>
              <w:t>+7.29%</w:t>
            </w:r>
          </w:p>
        </w:tc>
        <w:tc>
          <w:tcPr>
            <w:tcW w:type="dxa" w:w="960"/>
          </w:tcPr>
          <w:p>
            <w:r>
              <w:t>⚠️ MINOR</w:t>
            </w:r>
          </w:p>
        </w:tc>
        <w:tc>
          <w:tcPr>
            <w:tcW w:type="dxa" w:w="960"/>
          </w:tcPr>
          <w:p>
            <w:r>
              <w:t>↗️ WORSENING</w:t>
            </w:r>
          </w:p>
        </w:tc>
        <w:tc>
          <w:tcPr>
            <w:tcW w:type="dxa" w:w="960"/>
          </w:tcPr>
          <w:p>
            <w:r>
              <w:t>⚠️ NO CLAIM DATA</w:t>
            </w:r>
          </w:p>
        </w:tc>
      </w:tr>
      <w:tr>
        <w:tc>
          <w:tcPr>
            <w:tcW w:type="dxa" w:w="960"/>
          </w:tcPr>
          <w:p>
            <w:r>
              <w:t>COM</w:t>
            </w:r>
          </w:p>
        </w:tc>
        <w:tc>
          <w:tcPr>
            <w:tcW w:type="dxa" w:w="960"/>
          </w:tcPr>
          <w:p>
            <w:r>
              <w:t>Communications &amp; Media</w:t>
            </w:r>
          </w:p>
        </w:tc>
        <w:tc>
          <w:tcPr>
            <w:tcW w:type="dxa" w:w="960"/>
          </w:tcPr>
          <w:p>
            <w:r>
              <w:t>1,200,000</w:t>
            </w:r>
          </w:p>
        </w:tc>
        <w:tc>
          <w:tcPr>
            <w:tcW w:type="dxa" w:w="960"/>
          </w:tcPr>
          <w:p>
            <w:r>
              <w:t>1,210,000</w:t>
            </w:r>
          </w:p>
        </w:tc>
        <w:tc>
          <w:tcPr>
            <w:tcW w:type="dxa" w:w="960"/>
          </w:tcPr>
          <w:p>
            <w:r>
              <w:t>+10,000</w:t>
            </w:r>
          </w:p>
        </w:tc>
        <w:tc>
          <w:tcPr>
            <w:tcW w:type="dxa" w:w="960"/>
          </w:tcPr>
          <w:p>
            <w:r>
              <w:t>+0.83%</w:t>
            </w:r>
          </w:p>
        </w:tc>
        <w:tc>
          <w:tcPr>
            <w:tcW w:type="dxa" w:w="960"/>
          </w:tcPr>
          <w:p>
            <w:r>
              <w:t>✅ ACCEPTABLE</w:t>
            </w:r>
          </w:p>
        </w:tc>
        <w:tc>
          <w:tcPr>
            <w:tcW w:type="dxa" w:w="960"/>
          </w:tcPr>
          <w:p>
            <w:r>
              <w:t>→ STABLE</w:t>
            </w:r>
          </w:p>
        </w:tc>
        <w:tc>
          <w:tcPr>
            <w:tcW w:type="dxa" w:w="960"/>
          </w:tcPr>
          <w:p>
            <w:r>
              <w:t>⚠️ NO CLAIM DATA</w:t>
            </w:r>
          </w:p>
        </w:tc>
      </w:tr>
      <w:tr>
        <w:tc>
          <w:tcPr>
            <w:tcW w:type="dxa" w:w="960"/>
          </w:tcPr>
          <w:p>
            <w:r>
              <w:t>POL</w:t>
            </w:r>
          </w:p>
        </w:tc>
        <w:tc>
          <w:tcPr>
            <w:tcW w:type="dxa" w:w="960"/>
          </w:tcPr>
          <w:p>
            <w:r>
              <w:t>Policy &amp; Research</w:t>
            </w:r>
          </w:p>
        </w:tc>
        <w:tc>
          <w:tcPr>
            <w:tcW w:type="dxa" w:w="960"/>
          </w:tcPr>
          <w:p>
            <w:r>
              <w:t>950,000</w:t>
            </w:r>
          </w:p>
        </w:tc>
        <w:tc>
          <w:tcPr>
            <w:tcW w:type="dxa" w:w="960"/>
          </w:tcPr>
          <w:p>
            <w:r>
              <w:t>930,000</w:t>
            </w:r>
          </w:p>
        </w:tc>
        <w:tc>
          <w:tcPr>
            <w:tcW w:type="dxa" w:w="960"/>
          </w:tcPr>
          <w:p>
            <w:r>
              <w:t>-20,000</w:t>
            </w:r>
          </w:p>
        </w:tc>
        <w:tc>
          <w:tcPr>
            <w:tcW w:type="dxa" w:w="960"/>
          </w:tcPr>
          <w:p>
            <w:r>
              <w:t>-2.11%</w:t>
            </w:r>
          </w:p>
        </w:tc>
        <w:tc>
          <w:tcPr>
            <w:tcW w:type="dxa" w:w="960"/>
          </w:tcPr>
          <w:p>
            <w:r>
              <w:t>✅ ACCEPTABLE</w:t>
            </w:r>
          </w:p>
        </w:tc>
        <w:tc>
          <w:tcPr>
            <w:tcW w:type="dxa" w:w="960"/>
          </w:tcPr>
          <w:p>
            <w:r>
              <w:t>→ STABLE</w:t>
            </w:r>
          </w:p>
        </w:tc>
        <w:tc>
          <w:tcPr>
            <w:tcW w:type="dxa" w:w="960"/>
          </w:tcPr>
          <w:p>
            <w:r>
              <w:t>⚠️ NO CLAIM DATA</w:t>
            </w:r>
          </w:p>
        </w:tc>
      </w:tr>
      <w:tr>
        <w:tc>
          <w:tcPr>
            <w:tcW w:type="dxa" w:w="960"/>
          </w:tcPr>
          <w:p>
            <w:r>
              <w:t>FIN</w:t>
            </w:r>
          </w:p>
        </w:tc>
        <w:tc>
          <w:tcPr>
            <w:tcW w:type="dxa" w:w="960"/>
          </w:tcPr>
          <w:p>
            <w:r>
              <w:t>Finance &amp; Procurement</w:t>
            </w:r>
          </w:p>
        </w:tc>
        <w:tc>
          <w:tcPr>
            <w:tcW w:type="dxa" w:w="960"/>
          </w:tcPr>
          <w:p>
            <w:r>
              <w:t>1,750,000</w:t>
            </w:r>
          </w:p>
        </w:tc>
        <w:tc>
          <w:tcPr>
            <w:tcW w:type="dxa" w:w="960"/>
          </w:tcPr>
          <w:p>
            <w:r>
              <w:t>1,950,000</w:t>
            </w:r>
          </w:p>
        </w:tc>
        <w:tc>
          <w:tcPr>
            <w:tcW w:type="dxa" w:w="960"/>
          </w:tcPr>
          <w:p>
            <w:r>
              <w:t>+200,000</w:t>
            </w:r>
          </w:p>
        </w:tc>
        <w:tc>
          <w:tcPr>
            <w:tcW w:type="dxa" w:w="960"/>
          </w:tcPr>
          <w:p>
            <w:r>
              <w:t>+11.43%</w:t>
            </w:r>
          </w:p>
        </w:tc>
        <w:tc>
          <w:tcPr>
            <w:tcW w:type="dxa" w:w="960"/>
          </w:tcPr>
          <w:p>
            <w:r>
              <w:t>🔶 SIGNIFICANT</w:t>
            </w:r>
          </w:p>
        </w:tc>
        <w:tc>
          <w:tcPr>
            <w:tcW w:type="dxa" w:w="960"/>
          </w:tcPr>
          <w:p>
            <w:r>
              <w:t>↗️ WORSENING</w:t>
            </w:r>
          </w:p>
        </w:tc>
        <w:tc>
          <w:tcPr>
            <w:tcW w:type="dxa" w:w="960"/>
          </w:tcPr>
          <w:p>
            <w:r>
              <w:t>⚠️ NO CLAIM DATA</w:t>
            </w:r>
          </w:p>
        </w:tc>
      </w:tr>
    </w:tbl>
    <w:p>
      <w:r>
        <w:t>Status Legend:</w:t>
      </w:r>
    </w:p>
    <w:p>
      <w:pPr>
        <w:pStyle w:val="ListBullet"/>
      </w:pPr>
      <w:r>
        <w:t>✅ ACCEPTABLE (&lt;5%) · ⚠️ MINOR (5-10%) · 🔶 SIGNIFICANT (10-25%, CFO) · 🚨 CRITICAL (&gt;25%, Board) · 🔵 UNDERSPEND (&lt; -15%)</w:t>
      </w:r>
    </w:p>
    <w:p>
      <w:r>
        <w:t>Notes:</w:t>
      </w:r>
    </w:p>
    <w:p>
      <w:pPr>
        <w:pStyle w:val="ListBullet"/>
      </w:pPr>
      <w:r>
        <w:t>All departmental narrative claims were not supplied in this run; claim reconciliation is therefore limited to official dataset comparisons.</w:t>
      </w:r>
    </w:p>
    <w:p>
      <w:pPr>
        <w:pStyle w:val="ListBullet"/>
      </w:pPr>
      <w:r>
        <w:t>Trends and historical context are derived from 4-quarter official historicals (latest available: Q4 2025).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🌍 Economic Context &amp; Claim Validation</w:t>
      </w:r>
    </w:p>
    <w:p>
      <w:r>
        <w:t>Agent 2 (economic validation/web search) output was not provided in this run; external macro and sector validation is therefore UNCLEAR. Policy and internal thresholds from Agent 4 were used for compliance interpretation.</w:t>
      </w:r>
    </w:p>
    <w:p>
      <w:r>
        <w:t>Given the lack of Agent 2 outputs, specific validation of department narrative justifications (e.g., weather, cloud pricing, recruitment trends) could not be performed. Where policy requires (particularly IT), internal policy-triggered reporting should be enforced despite missing external validation.</w:t>
      </w:r>
    </w:p>
    <w:p>
      <w:r>
        <w:t>Summary of policy-relevant external validation requirements (per Agent 4):</w:t>
      </w:r>
    </w:p>
    <w:p>
      <w:pPr>
        <w:pStyle w:val="ListBullet"/>
      </w:pPr>
      <w:r>
        <w:t>IT overspend &gt;3% requires submission of an IT performance report (IT Spending Policy Section 3.2).</w:t>
      </w:r>
    </w:p>
    <w:p>
      <w:pPr>
        <w:pStyle w:val="ListBullet"/>
      </w:pPr>
      <w:r>
        <w:t>Variances &gt;5% require departmental justification (Financial Management Act Section 2.3.4).</w:t>
      </w:r>
    </w:p>
    <w:p>
      <w:pPr>
        <w:pStyle w:val="ListBullet"/>
      </w:pPr>
      <w:r>
        <w:t>Variances ≥10% trigger escalation to financial oversight (variance_policy.json thresholds).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🔍 Detailed Department Analysis</w:t>
      </w:r>
    </w:p>
    <w:p>
      <w:r>
        <w:t>(Only SIGNIFICANT / CRITICAL departments are expanded — none are CRITICAL in this dataset.)</w:t>
      </w:r>
    </w:p>
    <w:p>
      <w:pPr>
        <w:pStyle w:val="Heading3"/>
      </w:pPr>
      <w:r>
        <w:t>🔶 Finance &amp; Procurement — SIGNIFICANT</w:t>
      </w:r>
    </w:p>
    <w:p>
      <w:r>
        <w:rPr>
          <w:b/>
        </w:rPr>
        <w:t>Variance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Approved Budget</w:t>
            </w:r>
          </w:p>
        </w:tc>
        <w:tc>
          <w:tcPr>
            <w:tcW w:type="dxa" w:w="4320"/>
          </w:tcPr>
          <w:p>
            <w:r>
              <w:t>AED 1,750,000</w:t>
            </w:r>
          </w:p>
        </w:tc>
      </w:tr>
      <w:tr>
        <w:tc>
          <w:tcPr>
            <w:tcW w:type="dxa" w:w="4320"/>
          </w:tcPr>
          <w:p>
            <w:r>
              <w:t>Actual Spend</w:t>
            </w:r>
          </w:p>
        </w:tc>
        <w:tc>
          <w:tcPr>
            <w:tcW w:type="dxa" w:w="4320"/>
          </w:tcPr>
          <w:p>
            <w:r>
              <w:t>AED 1,950,000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+AED 200,000 (+11.43%)</w:t>
            </w:r>
          </w:p>
        </w:tc>
      </w:tr>
      <w:tr>
        <w:tc>
          <w:tcPr>
            <w:tcW w:type="dxa" w:w="4320"/>
          </w:tcPr>
          <w:p>
            <w:r>
              <w:t>Policy Status</w:t>
            </w:r>
          </w:p>
        </w:tc>
        <w:tc>
          <w:tcPr>
            <w:tcW w:type="dxa" w:w="4320"/>
          </w:tcPr>
          <w:p>
            <w:r>
              <w:t>🔶 SIGNIFICANT</w:t>
            </w:r>
          </w:p>
        </w:tc>
      </w:tr>
      <w:tr>
        <w:tc>
          <w:tcPr>
            <w:tcW w:type="dxa" w:w="4320"/>
          </w:tcPr>
          <w:p>
            <w:r>
              <w:t>Historical Trend</w:t>
            </w:r>
          </w:p>
        </w:tc>
        <w:tc>
          <w:tcPr>
            <w:tcW w:type="dxa" w:w="4320"/>
          </w:tcPr>
          <w:p>
            <w:r>
              <w:t>↗️ WORSENING (current 11.43% vs prior 3-quarter avg 3.8%)</w:t>
            </w:r>
          </w:p>
        </w:tc>
      </w:tr>
    </w:tbl>
    <w:p>
      <w:r>
        <w:rPr>
          <w:b/>
        </w:rPr>
        <w:t>Department Claims vs. Official Data</w:t>
      </w:r>
    </w:p>
    <w:p>
      <w:pPr>
        <w:pStyle w:val="ListBullet"/>
      </w:pPr>
      <w:r>
        <w:t>Claimed actual spend: No departmental narrative provided</w:t>
      </w:r>
    </w:p>
    <w:p>
      <w:pPr>
        <w:pStyle w:val="ListBullet"/>
      </w:pPr>
      <w:r>
        <w:t>Official actual spend: AED 1,950,000</w:t>
      </w:r>
    </w:p>
    <w:p>
      <w:pPr>
        <w:pStyle w:val="ListBullet"/>
      </w:pPr>
      <w:r>
        <w:t>Claim Accuracy: ⚠️ NO CLAIM DATA</w:t>
      </w:r>
    </w:p>
    <w:p>
      <w:r>
        <w:t>Justifications Submitted:</w:t>
      </w:r>
    </w:p>
    <w:p>
      <w:pPr>
        <w:pStyle w:val="ListBullet"/>
      </w:pPr>
      <w:r>
        <w:t>None provided in the MCP narrative (Agent 1) — justification not available; credibility assessment: LOW (per Agent 3).</w:t>
      </w:r>
    </w:p>
    <w:p>
      <w:r>
        <w:rPr>
          <w:b/>
        </w:rPr>
        <w:t>Credibility Assessment</w:t>
      </w:r>
    </w:p>
    <w:p>
      <w:pPr>
        <w:pStyle w:val="ListBullet"/>
      </w:pPr>
      <w:r>
        <w:t>Agent 3: overall credibility LOW due to absence of departmental justification and economic validation.</w:t>
      </w:r>
    </w:p>
    <w:p>
      <w:r>
        <w:t>Policy Compliance (Agent 4 &amp; policy file)</w:t>
      </w:r>
    </w:p>
    <w:p>
      <w:pPr>
        <w:pStyle w:val="ListBullet"/>
      </w:pPr>
      <w:r>
        <w:t>Required action: CFO approval required within policy timeframe (Agent 3 indicates a 5-business-day CFO approval requirement).</w:t>
      </w:r>
    </w:p>
    <w:p>
      <w:pPr>
        <w:pStyle w:val="ListBullet"/>
      </w:pPr>
      <w:r>
        <w:t>Per variance_policy.json, variances ≥10% require immediate escalation to financial oversight committee and submission of a reallocation plan.</w:t>
      </w:r>
    </w:p>
    <w:p>
      <w:r>
        <w:rPr>
          <w:b/>
        </w:rPr>
        <w:t>Required Actions</w:t>
      </w:r>
    </w:p>
    <w:p>
      <w:pPr>
        <w:pStyle w:val="ListBullet"/>
      </w:pPr>
      <w:r>
        <w:t>Submit a reallocation plan and detailed justification to the CFO immediately.</w:t>
      </w:r>
    </w:p>
    <w:p>
      <w:pPr>
        <w:pStyle w:val="ListBullet"/>
      </w:pPr>
      <w:r>
        <w:t>Internal procurement review (spend drivers and contract adherence).</w:t>
      </w:r>
    </w:p>
    <w:p>
      <w:pPr>
        <w:pStyle w:val="ListBullet"/>
      </w:pPr>
      <w:r>
        <w:t>Pending: CFO approval (deadline in Agent 3 was 2026-01-22 — now overdue).</w:t>
      </w:r>
    </w:p>
    <w:p>
      <w:r>
        <w:t>Remediation Plan (if provided):</w:t>
      </w:r>
    </w:p>
    <w:p>
      <w:pPr>
        <w:pStyle w:val="ListBullet"/>
      </w:pPr>
      <w:r>
        <w:t>None submitted. Plan adequacy: UNKNOWN.</w:t>
      </w:r>
    </w:p>
    <w:p>
      <w:r>
        <w:t>Audit Risk: 🔴 HIGH — magnitude and worsening trend, compounded by missing justifications and overdue CFO escalation.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Required Actions &amp; Compliance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Dept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Var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234"/>
          </w:tcPr>
          <w:p>
            <w:r>
              <w:t>FIN</w:t>
            </w:r>
          </w:p>
        </w:tc>
        <w:tc>
          <w:tcPr>
            <w:tcW w:type="dxa" w:w="1234"/>
          </w:tcPr>
          <w:p>
            <w:r>
              <w:t>+11.43%</w:t>
            </w:r>
          </w:p>
        </w:tc>
        <w:tc>
          <w:tcPr>
            <w:tcW w:type="dxa" w:w="1234"/>
          </w:tcPr>
          <w:p>
            <w:r>
              <w:t>🔶 SIGNIFICANT</w:t>
            </w:r>
          </w:p>
        </w:tc>
        <w:tc>
          <w:tcPr>
            <w:tcW w:type="dxa" w:w="1234"/>
          </w:tcPr>
          <w:p>
            <w:r>
              <w:t>CFO approval; reallocation plan; procurement review</w:t>
            </w:r>
          </w:p>
        </w:tc>
        <w:tc>
          <w:tcPr>
            <w:tcW w:type="dxa" w:w="1234"/>
          </w:tcPr>
          <w:p>
            <w:r>
              <w:t>CFO</w:t>
            </w:r>
          </w:p>
        </w:tc>
        <w:tc>
          <w:tcPr>
            <w:tcW w:type="dxa" w:w="1234"/>
          </w:tcPr>
          <w:p>
            <w:r>
              <w:t>2026-01-22</w:t>
            </w:r>
          </w:p>
        </w:tc>
        <w:tc>
          <w:tcPr>
            <w:tcW w:type="dxa" w:w="1234"/>
          </w:tcPr>
          <w:p>
            <w:r>
              <w:t>⏳ OVERDUE (no submission recorded)</w:t>
            </w:r>
          </w:p>
        </w:tc>
      </w:tr>
      <w:tr>
        <w:tc>
          <w:tcPr>
            <w:tcW w:type="dxa" w:w="1234"/>
          </w:tcPr>
          <w:p>
            <w:r>
              <w:t>INF</w:t>
            </w:r>
          </w:p>
        </w:tc>
        <w:tc>
          <w:tcPr>
            <w:tcW w:type="dxa" w:w="1234"/>
          </w:tcPr>
          <w:p>
            <w:r>
              <w:t>+7.29%</w:t>
            </w:r>
          </w:p>
        </w:tc>
        <w:tc>
          <w:tcPr>
            <w:tcW w:type="dxa" w:w="1234"/>
          </w:tcPr>
          <w:p>
            <w:r>
              <w:t>⚠️ MINOR</w:t>
            </w:r>
          </w:p>
        </w:tc>
        <w:tc>
          <w:tcPr>
            <w:tcW w:type="dxa" w:w="1234"/>
          </w:tcPr>
          <w:p>
            <w:r>
              <w:t>Dept head written justification; evidence for variance</w:t>
            </w:r>
          </w:p>
        </w:tc>
        <w:tc>
          <w:tcPr>
            <w:tcW w:type="dxa" w:w="1234"/>
          </w:tcPr>
          <w:p>
            <w:r>
              <w:t>Dept Head</w:t>
            </w:r>
          </w:p>
        </w:tc>
        <w:tc>
          <w:tcPr>
            <w:tcW w:type="dxa" w:w="1234"/>
          </w:tcPr>
          <w:p>
            <w:r>
              <w:t>As per internal note: within business days of notice</w:t>
            </w:r>
          </w:p>
        </w:tc>
        <w:tc>
          <w:tcPr>
            <w:tcW w:type="dxa" w:w="1234"/>
          </w:tcPr>
          <w:p>
            <w:r>
              <w:t>⏳ PENDING</w:t>
            </w:r>
          </w:p>
        </w:tc>
      </w:tr>
      <w:tr>
        <w:tc>
          <w:tcPr>
            <w:tcW w:type="dxa" w:w="1234"/>
          </w:tcPr>
          <w:p>
            <w:r>
              <w:t>IT</w:t>
            </w:r>
          </w:p>
        </w:tc>
        <w:tc>
          <w:tcPr>
            <w:tcW w:type="dxa" w:w="1234"/>
          </w:tcPr>
          <w:p>
            <w:r>
              <w:t>+4.52%</w:t>
            </w:r>
          </w:p>
        </w:tc>
        <w:tc>
          <w:tcPr>
            <w:tcW w:type="dxa" w:w="1234"/>
          </w:tcPr>
          <w:p>
            <w:r>
              <w:t>✅ ACCEPTABLE</w:t>
            </w:r>
          </w:p>
        </w:tc>
        <w:tc>
          <w:tcPr>
            <w:tcW w:type="dxa" w:w="1234"/>
          </w:tcPr>
          <w:p>
            <w:r>
              <w:t>IT performance report required (IT policy &gt;3%)</w:t>
            </w:r>
          </w:p>
        </w:tc>
        <w:tc>
          <w:tcPr>
            <w:tcW w:type="dxa" w:w="1234"/>
          </w:tcPr>
          <w:p>
            <w:r>
              <w:t>CIO / IT Governance</w:t>
            </w:r>
          </w:p>
        </w:tc>
        <w:tc>
          <w:tcPr>
            <w:tcW w:type="dxa" w:w="1234"/>
          </w:tcPr>
          <w:p>
            <w:r>
              <w:t>Per IT policy (submit ASAP)</w:t>
            </w:r>
          </w:p>
        </w:tc>
        <w:tc>
          <w:tcPr>
            <w:tcW w:type="dxa" w:w="1234"/>
          </w:tcPr>
          <w:p>
            <w:r>
              <w:t>⏳ PENDING</w:t>
            </w:r>
          </w:p>
        </w:tc>
      </w:tr>
      <w:tr>
        <w:tc>
          <w:tcPr>
            <w:tcW w:type="dxa" w:w="1234"/>
          </w:tcPr>
          <w:p>
            <w:r>
              <w:t>All Depts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Submit full variance narratives and supporting docs</w:t>
            </w:r>
          </w:p>
        </w:tc>
        <w:tc>
          <w:tcPr>
            <w:tcW w:type="dxa" w:w="1234"/>
          </w:tcPr>
          <w:p>
            <w:r>
              <w:t>Dept Heads</w:t>
            </w:r>
          </w:p>
        </w:tc>
        <w:tc>
          <w:tcPr>
            <w:tcW w:type="dxa" w:w="1234"/>
          </w:tcPr>
          <w:p>
            <w:r>
              <w:t>2026-04-20 (policy compliance report deadline)</w:t>
            </w:r>
          </w:p>
        </w:tc>
        <w:tc>
          <w:tcPr>
            <w:tcW w:type="dxa" w:w="1234"/>
          </w:tcPr>
          <w:p>
            <w:r>
              <w:t>⏳ PENDING</w:t>
            </w:r>
          </w:p>
        </w:tc>
      </w:tr>
    </w:tbl>
    <w:p>
      <w:r>
        <w:t>Notes:</w:t>
      </w:r>
    </w:p>
    <w:p>
      <w:pPr>
        <w:pStyle w:val="ListBullet"/>
      </w:pPr>
      <w:r>
        <w:t>Per Financial Management Act Section 2.3.4 and variance_policy.json, departments must justify variances &gt;5% within the stipulated timeframe; Infrastructure falls into this category.</w:t>
      </w:r>
    </w:p>
    <w:p>
      <w:pPr>
        <w:pStyle w:val="ListBullet"/>
      </w:pPr>
      <w:r>
        <w:t>Finance's CFO approval deadline per Agent 3 has passed and must be addressed immediately to remain policy-compliant and avoid penalties.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Historical Trend Analysis</w:t>
      </w:r>
    </w:p>
    <w:p>
      <w:r>
        <w:t>Q4 2025 vs. Historical Average (Last 4 Quarters)</w:t>
      </w:r>
    </w:p>
    <w:p>
      <w:pPr>
        <w:pStyle w:val="ListBullet"/>
      </w:pPr>
      <w:r>
        <w:t>IT: +4.52% (current) vs avg prior 3 qtrs -0.4% — → STABLE overall (small increase).</w:t>
      </w:r>
    </w:p>
    <w:p>
      <w:pPr>
        <w:pStyle w:val="ListBullet"/>
      </w:pPr>
      <w:r>
        <w:t>INF: +7.29% vs avg prior 3 qtrs 0.0% — ↗️ WORSENING by 7.29pp.</w:t>
      </w:r>
    </w:p>
    <w:p>
      <w:pPr>
        <w:pStyle w:val="ListBullet"/>
      </w:pPr>
      <w:r>
        <w:t>FIN: +11.43% vs avg prior 3 qtrs 3.8% — ↗️ WORSENING by 7.63pp.</w:t>
      </w:r>
    </w:p>
    <w:p>
      <w:pPr>
        <w:pStyle w:val="ListBullet"/>
      </w:pPr>
      <w:r>
        <w:t>HR/COM/POL: small variances; stable.</w:t>
      </w:r>
    </w:p>
    <w:p>
      <w:r>
        <w:t>Overall assessment:</w:t>
      </w:r>
    </w:p>
    <w:p>
      <w:pPr>
        <w:pStyle w:val="ListBullet"/>
      </w:pPr>
      <w:r>
        <w:t>The aggregate variance (+5.5%) is modest but driven primarily by Finance and Infrastructure, which show a clear worsening trend relative to recent quarters. This pattern suggests isolated departmental drivers rather than an organisation-wide structural issue, but Finance’s escalation and Infrastructure’s &gt;5% variance require prompt remediation to prevent policy escalation and potential penalties.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🎯 Policy &amp; Regulatory Compliance Assessment</w:t>
      </w:r>
    </w:p>
    <w:p>
      <w:r>
        <w:t>Synthesis of Agent 4 policy guidance with Agent 3 findings:</w:t>
      </w:r>
    </w:p>
    <w:p>
      <w:pPr>
        <w:pStyle w:val="ListBullet"/>
      </w:pPr>
      <w:r>
        <w:t>Financial Management Act (Section 2.3.4): Departments must justify &gt;5% variances within 30 days. INF and FIN require action.</w:t>
      </w:r>
    </w:p>
    <w:p>
      <w:r>
        <w:t>&gt; "All departments must justify variance exceeding 5% within 30 days." — Financial Management Act (variance_policy.json Section 2.3.4)</w:t>
      </w:r>
    </w:p>
    <w:p>
      <w:pPr>
        <w:pStyle w:val="ListBullet"/>
      </w:pPr>
      <w:r>
        <w:t>IT Spending Guidelines (Section 3.2): IT variances &gt;3% require an IT performance report. Although IT is within the organisational ACCEPTABLE threshold (&lt;5%), it exceeds the IT-specific 3% reporting trigger and should submit the required report.</w:t>
      </w:r>
    </w:p>
    <w:p>
      <w:r>
        <w:t>&gt; "Any IT-related budget variance greater than 3% requires submission of an IT performance report." — IT Spending Policy Framework Section 3.2</w:t>
      </w:r>
    </w:p>
    <w:p>
      <w:pPr>
        <w:pStyle w:val="ListBullet"/>
      </w:pPr>
      <w:r>
        <w:t>Procurement Policy (Section 5.4 &amp; 8.2.1): Finance overspend suggests procurement review; variances &gt;5% tied to procurement trigger policy audits and possible escalation to the General Audit Authority within 10 business days.</w:t>
      </w:r>
    </w:p>
    <w:p>
      <w:pPr>
        <w:pStyle w:val="ListBullet"/>
      </w:pPr>
      <w:r>
        <w:t>Escalation thresholds (variance_policy.json):</w:t>
      </w:r>
    </w:p>
    <w:p>
      <w:pPr>
        <w:pStyle w:val="ListBullet"/>
      </w:pPr>
      <w:r>
        <w:t>Minor: 0–5% (self-managed)</w:t>
      </w:r>
    </w:p>
    <w:p>
      <w:pPr>
        <w:pStyle w:val="ListBullet"/>
      </w:pPr>
      <w:r>
        <w:t>Moderate: 5–10% (justification required)</w:t>
      </w:r>
    </w:p>
    <w:p>
      <w:pPr>
        <w:pStyle w:val="ListBullet"/>
      </w:pPr>
      <w:r>
        <w:t>Major: 10%+ (immediate escalation — Finance qualifies)</w:t>
      </w:r>
    </w:p>
    <w:p>
      <w:r>
        <w:t>Regulatory Risks:</w:t>
      </w:r>
    </w:p>
    <w:p>
      <w:pPr>
        <w:pStyle w:val="ListBullet"/>
      </w:pPr>
      <w:r>
        <w:t>Penalty of 10% of over-budget spending (AED 107,000) may apply if moderate/major variances are not addressed within specified timelines (Financial Management Act Section 7.1).</w:t>
      </w:r>
    </w:p>
    <w:p>
      <w:pPr>
        <w:pStyle w:val="ListBullet"/>
      </w:pPr>
      <w:r>
        <w:t>Repeated noncompliance risks department funding freezes.</w:t>
      </w:r>
    </w:p>
    <w:p>
      <w:r>
        <w:t>Compliance summary by department:</w:t>
      </w:r>
    </w:p>
    <w:p>
      <w:pPr>
        <w:pStyle w:val="ListBullet"/>
      </w:pPr>
      <w:r>
        <w:t>IT: Reporting timeliness OK; must file IT performance report (policy trigger at 3%).</w:t>
      </w:r>
    </w:p>
    <w:p>
      <w:pPr>
        <w:pStyle w:val="ListBullet"/>
      </w:pPr>
      <w:r>
        <w:t>INF: Justification required (policy &gt;5%); current remediation plan not submitted.</w:t>
      </w:r>
    </w:p>
    <w:p>
      <w:pPr>
        <w:pStyle w:val="ListBullet"/>
      </w:pPr>
      <w:r>
        <w:t>FIN: Major escalation required; CFO approval overdue; reallocation plan required; risk of penalties.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💡 Recommendations</w:t>
      </w:r>
    </w:p>
    <w:p>
      <w:pPr>
        <w:pStyle w:val="ListNumber"/>
      </w:pPr>
      <w:r>
        <w:t>Finance &amp; Procurement — Immediate Conditional Approval Path</w:t>
      </w:r>
    </w:p>
    <w:p>
      <w:pPr>
        <w:pStyle w:val="ListBullet"/>
      </w:pPr>
      <w:r>
        <w:t>Require submission of a detailed reallocation plan and justification within 5 business days.</w:t>
      </w:r>
    </w:p>
    <w:p>
      <w:pPr>
        <w:pStyle w:val="ListBullet"/>
      </w:pPr>
      <w:r>
        <w:t>Condition approval on CFO sign-off and an internal procurement audit focused on contracts and one-off spend.</w:t>
      </w:r>
    </w:p>
    <w:p>
      <w:pPr>
        <w:pStyle w:val="ListBullet"/>
      </w:pPr>
      <w:r>
        <w:t>If satisfactory, approve reallocation; otherwise, impose corrective actions (spend freeze, recruitment hold).</w:t>
      </w:r>
    </w:p>
    <w:p>
      <w:pPr>
        <w:pStyle w:val="ListNumber"/>
      </w:pPr>
      <w:r>
        <w:t>Infrastructure &amp; Facilities — Justification &amp; Efficiency Measures</w:t>
      </w:r>
    </w:p>
    <w:p>
      <w:pPr>
        <w:pStyle w:val="ListBullet"/>
      </w:pPr>
      <w:r>
        <w:t>Require written justification and supporting evidence within 10 business days (per internal notice).</w:t>
      </w:r>
    </w:p>
    <w:p>
      <w:pPr>
        <w:pStyle w:val="ListBullet"/>
      </w:pPr>
      <w:r>
        <w:t>Commission a facilities cost review (utilities, emergency repairs, service contracts) and identify potential savings/re-negotiation opportunities.</w:t>
      </w:r>
    </w:p>
    <w:p>
      <w:pPr>
        <w:pStyle w:val="ListNumber"/>
      </w:pPr>
      <w:r>
        <w:t>Information Technology — Policy-Driven Reporting</w:t>
      </w:r>
    </w:p>
    <w:p>
      <w:pPr>
        <w:pStyle w:val="ListBullet"/>
      </w:pPr>
      <w:r>
        <w:t>Submit the IT performance report required under IT Spending Policy Section 3.2 (triggered at &gt;3% variance).</w:t>
      </w:r>
    </w:p>
    <w:p>
      <w:pPr>
        <w:pStyle w:val="ListBullet"/>
      </w:pPr>
      <w:r>
        <w:t>Begin cloud optimization and procurement adherence checks where applicable.</w:t>
      </w:r>
    </w:p>
    <w:p>
      <w:pPr>
        <w:pStyle w:val="ListNumber"/>
      </w:pPr>
      <w:r>
        <w:t>Organisation-wide Controls &amp; Budgeting</w:t>
      </w:r>
    </w:p>
    <w:p>
      <w:pPr>
        <w:pStyle w:val="ListBullet"/>
      </w:pPr>
      <w:r>
        <w:t>Enforce the 2026-04-20 compliance report deadline (variance_policy.json).</w:t>
      </w:r>
    </w:p>
    <w:p>
      <w:pPr>
        <w:pStyle w:val="ListBullet"/>
      </w:pPr>
      <w:r>
        <w:t>Implement monthly variance forecasting during Q2 2026 for Finance and Infrastructure.</w:t>
      </w:r>
    </w:p>
    <w:p>
      <w:pPr>
        <w:pStyle w:val="ListBullet"/>
      </w:pPr>
      <w:r>
        <w:t>Consider short-term internal reallocation (subject to reallocation rules — max 10% without Board approval) if Finance remedial plan is credible.</w:t>
      </w:r>
    </w:p>
    <w:p>
      <w:pPr>
        <w:pStyle w:val="ListNumber"/>
      </w:pPr>
      <w:r>
        <w:t>Risk &amp; Penalties</w:t>
      </w:r>
    </w:p>
    <w:p>
      <w:pPr>
        <w:pStyle w:val="ListBullet"/>
      </w:pPr>
      <w:r>
        <w:t>Notify departments of potential penalty exposure (10% of over-budget spending) if remediation timelines are missed.</w:t>
      </w:r>
    </w:p>
    <w:p>
      <w:pPr>
        <w:pStyle w:val="ListBullet"/>
      </w:pPr>
      <w:r>
        <w:t>Escalate to Financial Governance Office if Finance or Infrastructure fails to submit required documentation within the revised short deadlines.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📝 Data Quality &amp; Methodology Notes</w:t>
      </w:r>
    </w:p>
    <w:p>
      <w:r>
        <w:t>Data Sources:</w:t>
      </w:r>
    </w:p>
    <w:p>
      <w:pPr>
        <w:pStyle w:val="ListBullet"/>
      </w:pPr>
      <w:r>
        <w:t>Official approved budgets and actuals: Agent 3 (Code Interpreter) CSVs — complete for 6 departments (4 quarters, latest Q4 2025).</w:t>
      </w:r>
    </w:p>
    <w:p>
      <w:pPr>
        <w:pStyle w:val="ListBullet"/>
      </w:pPr>
      <w:r>
        <w:t>Department narratives: Agent 1 MCP output — NOT PROVIDED in this run.</w:t>
      </w:r>
    </w:p>
    <w:p>
      <w:pPr>
        <w:pStyle w:val="ListBullet"/>
      </w:pPr>
      <w:r>
        <w:t>Economic validation / web search: Agent 2 — NOT PROVIDED in this run.</w:t>
      </w:r>
    </w:p>
    <w:p>
      <w:pPr>
        <w:pStyle w:val="ListBullet"/>
      </w:pPr>
      <w:r>
        <w:t>Policy guidance: Agent 4 (Foundry IQ) — extracted from variance_policy.json, Financial Management Act, IT Spending Policy, Procurement guidelines.</w:t>
      </w:r>
    </w:p>
    <w:p>
      <w:r>
        <w:t>Data Quality Notes (from Agent 3):</w:t>
      </w:r>
    </w:p>
    <w:p>
      <w:pPr>
        <w:pStyle w:val="ListBullet"/>
      </w:pPr>
      <w:r>
        <w:t>Q1 2026 actuals not available; analysis performed on latest available quarter (Q4 2025).</w:t>
      </w:r>
    </w:p>
    <w:p>
      <w:pPr>
        <w:pStyle w:val="ListBullet"/>
      </w:pPr>
      <w:r>
        <w:t>Official CSV data complete for 6 departments for 2025 (4 quarters).</w:t>
      </w:r>
    </w:p>
    <w:p>
      <w:pPr>
        <w:pStyle w:val="ListBullet"/>
      </w:pPr>
      <w:r>
        <w:t>No departmental MCP claims provided; reconciliation limited to official data comparison.</w:t>
      </w:r>
    </w:p>
    <w:p>
      <w:pPr>
        <w:pStyle w:val="ListBullet"/>
      </w:pPr>
      <w:r>
        <w:t>Credibility assessments are constrained by missing department narratives and missing external economic validation.</w:t>
      </w:r>
    </w:p>
    <w:p>
      <w:r>
        <w:t>Limitations:</w:t>
      </w:r>
    </w:p>
    <w:p>
      <w:pPr>
        <w:pStyle w:val="ListBullet"/>
      </w:pPr>
      <w:r>
        <w:t>Missing Agent 1 and Agent 2 inputs limit ability to validate departmental justifications against external factors (e.g., weather, market CPI, cloud price movements).</w:t>
      </w:r>
    </w:p>
    <w:p>
      <w:pPr>
        <w:pStyle w:val="ListBullet"/>
      </w:pPr>
      <w:r>
        <w:t>Timing: Several policy deadlines referenced in data may have elapsed; actual compliance posture requires immediate confirmation from department owners.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Audit Trail</w:t>
      </w:r>
    </w:p>
    <w:p>
      <w:r>
        <w:t>This report was generated by a multi-agent workflow:</w:t>
      </w:r>
    </w:p>
    <w:p>
      <w:pPr>
        <w:pStyle w:val="ListNumber"/>
      </w:pPr>
      <w:r>
        <w:t>Agent 1 (MCP): Department narratives — *Not provided in this run*</w:t>
      </w:r>
    </w:p>
    <w:p>
      <w:pPr>
        <w:pStyle w:val="ListNumber"/>
      </w:pPr>
      <w:r>
        <w:t>Agent 2 (Web Search): Economic validation — *Not provided in this run*</w:t>
      </w:r>
    </w:p>
    <w:p>
      <w:pPr>
        <w:pStyle w:val="ListNumber"/>
      </w:pPr>
      <w:r>
        <w:t>Agent 3 (Code Interpreter): Official data analysis and reconciliation (CSV files + policy JSON) — primary data source for financial figures and trend analysis (analysis date 2026-03-30)</w:t>
      </w:r>
    </w:p>
    <w:p>
      <w:pPr>
        <w:pStyle w:val="ListNumber"/>
      </w:pPr>
      <w:r>
        <w:t>Agent 4 (Foundry IQ): Policy &amp; compliance guidance extracted from variance_policy.json and related policies</w:t>
      </w:r>
    </w:p>
    <w:p>
      <w:pPr>
        <w:pStyle w:val="ListNumber"/>
      </w:pPr>
      <w:r>
        <w:t>Agent 5 (Summary): Synthesized this executive report</w:t>
      </w:r>
    </w:p>
    <w:p>
      <w:pPr>
        <w:pStyle w:val="ListNumber"/>
      </w:pPr>
      <w:r>
        <w:t>Agent 6 (Outlook): Will distribute report to stakeholders (pending)</w:t>
      </w:r>
    </w:p>
    <w:p>
      <w:r>
        <w:t>Generated: 2026-03-30T00:00:00Z</w:t>
      </w:r>
    </w:p>
    <w:p>
      <w:r>
        <w:t>Next Review: Q2 2026 (July 2026)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If approved, next immediate steps for the Finance Committee / CFO:</w:t>
      </w:r>
    </w:p>
    <w:p>
      <w:pPr>
        <w:pStyle w:val="ListBullet"/>
      </w:pPr>
      <w:r>
        <w:t>Direct Finance (FIN) to submit reallocation plan and supporting documentation within 5 business days.</w:t>
      </w:r>
    </w:p>
    <w:p>
      <w:pPr>
        <w:pStyle w:val="ListBullet"/>
      </w:pPr>
      <w:r>
        <w:t>Direct Infrastructure (INF) to provide written justification and evidence within 10 business days.</w:t>
      </w:r>
    </w:p>
    <w:p>
      <w:pPr>
        <w:pStyle w:val="ListBullet"/>
      </w:pPr>
      <w:r>
        <w:t>Require IT to produce the IT performance report per IT policy (3% trigger) within 7 business days.</w:t>
      </w:r>
    </w:p>
    <w:p>
      <w:pPr>
        <w:pStyle w:val="ListBullet"/>
      </w:pPr>
      <w:r>
        <w:t>Confirm whether Agent 2 (economic validation) materials can be obtained to strengthen justification assessments.</w:t>
      </w:r>
    </w:p>
    <w:p>
      <w:r>
        <w:t>Report generated by Azure AI Foundry Agent Service · Apex Digital Government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