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Лабораторная работа </w:t>
      </w:r>
      <w:r>
        <w:rPr>
          <w:rtl w:val="0"/>
        </w:rPr>
        <w:t>15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Нарисовать на сайте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"http://toonio.ru"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toonio.ru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</w:rPr>
        <w:t>покадровую анимацию мяча</w:t>
      </w:r>
      <w:r>
        <w:rPr>
          <w:rtl w:val="0"/>
        </w:rPr>
        <w:t xml:space="preserve">, </w:t>
      </w:r>
      <w:r>
        <w:rPr>
          <w:rtl w:val="0"/>
        </w:rPr>
        <w:t xml:space="preserve">реализующую один из </w:t>
      </w:r>
      <w:r>
        <w:rPr>
          <w:rtl w:val="0"/>
        </w:rPr>
        <w:t xml:space="preserve">12 </w:t>
      </w:r>
      <w:r>
        <w:rPr>
          <w:rtl w:val="0"/>
        </w:rPr>
        <w:t>принципов анимации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442532"/>
            <wp:effectExtent l="0" t="0" r="0" b="0"/>
            <wp:wrapTopAndBottom distT="152400" distB="152400"/>
            <wp:docPr id="1073741825" name="officeArt object" descr="вставленное-изображение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42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