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34DD3">
      <w:pPr>
        <w:wordWrap w:val="0"/>
        <w:spacing w:afterLines="0" w:line="240" w:lineRule="exact"/>
        <w:ind w:firstLine="400"/>
        <w:jc w:val="right"/>
        <w:rPr>
          <w:rFonts w:hint="eastAsia" w:ascii="黑体" w:hAnsi="黑体" w:eastAsia="黑体"/>
          <w:color w:val="A6A6A6"/>
          <w:sz w:val="20"/>
          <w:szCs w:val="20"/>
        </w:rPr>
      </w:pPr>
      <w:sdt>
        <w:sdtPr>
          <w:rPr>
            <w:rFonts w:ascii="黑体" w:hAnsi="黑体" w:eastAsia="黑体"/>
            <w:color w:val="A6A6A6"/>
            <w:sz w:val="20"/>
            <w:szCs w:val="20"/>
          </w:rPr>
          <w:alias w:val="时间域"/>
          <w:tag w:val="Date_Field"/>
          <w:id w:val="-1"/>
          <w:placeholder>
            <w:docPart w:val="6511ADA9103747D4A3E2DF21CCC79917"/>
          </w:placeholder>
        </w:sdtPr>
        <w:sdtEndPr>
          <w:rPr>
            <w:rFonts w:ascii="黑体" w:hAnsi="黑体" w:eastAsia="黑体"/>
            <w:color w:val="A6A6A6"/>
            <w:sz w:val="20"/>
            <w:szCs w:val="20"/>
          </w:rPr>
        </w:sdtEndPr>
        <w:sdtContent>
          <w:bookmarkStart w:id="3" w:name="_GoBack"/>
          <w:bookmarkEnd w:id="3"/>
          <w:r>
            <w:rPr>
              <w:rFonts w:ascii="黑体" w:hAnsi="黑体" w:eastAsia="黑体"/>
              <w:color w:val="A6A6A6"/>
              <w:sz w:val="20"/>
              <w:szCs w:val="20"/>
            </w:rPr>
            <w:fldChar w:fldCharType="begin"/>
          </w:r>
          <w:r>
            <w:rPr>
              <w:rFonts w:ascii="黑体" w:hAnsi="黑体" w:eastAsia="黑体"/>
              <w:color w:val="A6A6A6"/>
              <w:sz w:val="20"/>
              <w:szCs w:val="20"/>
            </w:rPr>
            <w:instrText xml:space="preserve"> </w:instrText>
          </w:r>
          <w:r>
            <w:rPr>
              <w:rFonts w:hint="eastAsia" w:ascii="黑体" w:hAnsi="黑体" w:eastAsia="黑体"/>
              <w:color w:val="A6A6A6"/>
              <w:sz w:val="20"/>
              <w:szCs w:val="20"/>
            </w:rPr>
            <w:instrText xml:space="preserve">TIME \@ "yyyy'年'M'月'd'日'"</w:instrText>
          </w:r>
          <w:r>
            <w:rPr>
              <w:rFonts w:ascii="黑体" w:hAnsi="黑体" w:eastAsia="黑体"/>
              <w:color w:val="A6A6A6"/>
              <w:sz w:val="20"/>
              <w:szCs w:val="20"/>
            </w:rPr>
            <w:instrText xml:space="preserve"> </w:instrText>
          </w:r>
          <w:r>
            <w:rPr>
              <w:rFonts w:ascii="黑体" w:hAnsi="黑体" w:eastAsia="黑体"/>
              <w:color w:val="A6A6A6"/>
              <w:sz w:val="20"/>
              <w:szCs w:val="20"/>
            </w:rPr>
            <w:fldChar w:fldCharType="separate"/>
          </w:r>
          <w:r>
            <w:rPr>
              <w:rFonts w:hint="eastAsia" w:ascii="黑体" w:hAnsi="黑体" w:eastAsia="黑体"/>
              <w:color w:val="A6A6A6"/>
              <w:sz w:val="20"/>
              <w:szCs w:val="20"/>
            </w:rPr>
            <w:t>2026年3月7日</w:t>
          </w:r>
          <w:r>
            <w:rPr>
              <w:rFonts w:ascii="黑体" w:hAnsi="黑体" w:eastAsia="黑体"/>
              <w:color w:val="A6A6A6"/>
              <w:sz w:val="20"/>
              <w:szCs w:val="20"/>
            </w:rPr>
            <w:fldChar w:fldCharType="end"/>
          </w:r>
        </w:sdtContent>
      </w:sdt>
      <w:r>
        <w:rPr>
          <w:rFonts w:hint="eastAsia" w:ascii="黑体" w:hAnsi="黑体" w:eastAsia="黑体"/>
          <w:color w:val="A6A6A6"/>
          <w:sz w:val="20"/>
          <w:szCs w:val="20"/>
        </w:rPr>
        <w:t xml:space="preserve"> </w:t>
      </w:r>
      <w:permStart w:id="0" w:edGrp="everyone"/>
      <w:sdt>
        <w:sdtPr>
          <w:rPr>
            <w:rFonts w:hint="eastAsia" w:ascii="黑体" w:hAnsi="黑体" w:eastAsia="黑体"/>
            <w:color w:val="A6A6A6"/>
            <w:sz w:val="20"/>
            <w:szCs w:val="20"/>
          </w:rPr>
          <w:alias w:val="报告副标题"/>
          <w:tag w:val="BDCONTENTCONTROL_AUTO_SAVE_SubTitle"/>
          <w:id w:val="1515104963"/>
          <w:lock w:val="sdtLocked"/>
          <w:placeholder>
            <w:docPart w:val="2EB0AD8CB8794FD496492273A82A5B45"/>
          </w:placeholder>
        </w:sdtPr>
        <w:sdtEndPr>
          <w:rPr>
            <w:rFonts w:hint="eastAsia" w:ascii="黑体" w:hAnsi="黑体" w:eastAsia="黑体"/>
            <w:color w:val="A6A6A6"/>
            <w:sz w:val="20"/>
            <w:szCs w:val="20"/>
          </w:rPr>
        </w:sdtEndPr>
        <w:sdtContent>
          <w:r>
            <w:rPr>
              <w:rFonts w:hint="eastAsia" w:ascii="黑体" w:hAnsi="黑体" w:eastAsia="黑体"/>
              <w:color w:val="A6A6A6"/>
              <w:sz w:val="20"/>
              <w:szCs w:val="20"/>
            </w:rPr>
            <w:t>第</w:t>
          </w:r>
          <w:r>
            <w:rPr>
              <w:rFonts w:ascii="黑体" w:hAnsi="黑体" w:eastAsia="黑体"/>
              <w:color w:val="A6A6A6"/>
              <w:sz w:val="20"/>
              <w:szCs w:val="20"/>
            </w:rPr>
            <w:t>259</w:t>
          </w:r>
          <w:r>
            <w:rPr>
              <w:rFonts w:hint="eastAsia" w:ascii="黑体" w:hAnsi="黑体" w:eastAsia="黑体"/>
              <w:color w:val="A6A6A6"/>
              <w:sz w:val="20"/>
              <w:szCs w:val="20"/>
            </w:rPr>
            <w:t>期</w:t>
          </w:r>
        </w:sdtContent>
      </w:sdt>
    </w:p>
    <w:sdt>
      <w:sdtPr>
        <w:rPr>
          <w:rFonts w:hint="eastAsia" w:ascii="黑体" w:hAnsi="黑体" w:eastAsia="黑体"/>
          <w:b/>
          <w:sz w:val="32"/>
          <w:u w:val="single"/>
        </w:rPr>
        <w:alias w:val="报告摘要"/>
        <w:tag w:val="BDCONTENTCONTROL_Summary"/>
        <w:id w:val="718781558"/>
        <w:lock w:val="sdtLocked"/>
        <w:placeholder>
          <w:docPart w:val="2EB0AD8CB8794FD496492273A82A5B45"/>
        </w:placeholder>
      </w:sdtPr>
      <w:sdtEndPr>
        <w:rPr>
          <w:rFonts w:hint="eastAsia" w:ascii="Times New Roman" w:hAnsi="Times New Roman" w:eastAsia="仿宋_GB2312"/>
          <w:b w:val="0"/>
          <w:sz w:val="32"/>
          <w:u w:val="none"/>
        </w:rPr>
      </w:sdtEndPr>
      <w:sdtContent>
        <w:p w14:paraId="6AC69647">
          <w:pPr>
            <w:spacing w:before="156" w:beforeLines="50" w:after="156"/>
            <w:ind w:firstLine="0" w:firstLineChars="0"/>
            <w:rPr>
              <w:rFonts w:hint="eastAsia" w:ascii="黑体" w:hAnsi="黑体" w:eastAsia="黑体"/>
              <w:b/>
              <w:sz w:val="32"/>
              <w:u w:val="single"/>
            </w:rPr>
          </w:pPr>
          <w:r>
            <w:rPr>
              <w:rFonts w:hint="eastAsia" w:ascii="黑体" w:hAnsi="黑体" w:eastAsia="黑体"/>
              <w:b/>
              <w:sz w:val="32"/>
              <w:u w:val="single"/>
            </w:rPr>
            <w:t>宏观专栏</w:t>
          </w:r>
        </w:p>
        <w:p w14:paraId="5F80193A">
          <w:pPr>
            <w:spacing w:after="156"/>
            <w:ind w:firstLine="0" w:firstLineChars="0"/>
            <w:rPr>
              <w:rFonts w:hint="eastAsia" w:ascii="黑体" w:hAnsi="黑体" w:eastAsia="黑体"/>
              <w:b/>
              <w:sz w:val="32"/>
            </w:rPr>
          </w:pPr>
          <w:r>
            <w:rPr>
              <w:rFonts w:hint="eastAsia" w:ascii="黑体" w:hAnsi="黑体" w:eastAsia="黑体"/>
              <w:b/>
              <w:sz w:val="32"/>
            </w:rPr>
            <w:t>关于资本账户的若干迷思</w:t>
          </w:r>
        </w:p>
        <w:p w14:paraId="5054B497">
          <w:pPr>
            <w:spacing w:after="312" w:afterLines="100"/>
            <w:ind w:firstLine="0" w:firstLineChars="0"/>
            <w:rPr>
              <w:sz w:val="32"/>
            </w:rPr>
          </w:pPr>
          <w:r>
            <w:rPr>
              <w:rFonts w:hint="eastAsia"/>
              <w:sz w:val="32"/>
            </w:rPr>
            <w:t>报告认为，对资本账户开放的担忧部分源于对资本流动、汇率形成机制以及相关政策工具的认知偏差。在全球货币秩序重构的战略窗口期，进一步推进资本账户开放的现实条件正趋于成熟，更开放的资本账户对于中国从经济大国迈向金融与货币强国有重要意义。</w:t>
          </w:r>
        </w:p>
        <w:p w14:paraId="5CA0DB9F">
          <w:pPr>
            <w:spacing w:after="156"/>
            <w:ind w:firstLine="0" w:firstLineChars="0"/>
            <w:rPr>
              <w:rFonts w:hint="eastAsia" w:ascii="黑体" w:hAnsi="黑体" w:eastAsia="黑体"/>
              <w:b/>
              <w:sz w:val="32"/>
            </w:rPr>
          </w:pPr>
          <w:r>
            <w:rPr>
              <w:rFonts w:hint="eastAsia" w:ascii="黑体" w:hAnsi="黑体" w:eastAsia="黑体"/>
              <w:b/>
              <w:sz w:val="32"/>
            </w:rPr>
            <w:t>另眼看消费</w:t>
          </w:r>
        </w:p>
        <w:p w14:paraId="221649A4">
          <w:pPr>
            <w:spacing w:after="156"/>
            <w:ind w:firstLine="0" w:firstLineChars="0"/>
            <w:rPr>
              <w:sz w:val="32"/>
            </w:rPr>
          </w:pPr>
          <w:r>
            <w:rPr>
              <w:rFonts w:hint="eastAsia"/>
              <w:sz w:val="32"/>
            </w:rPr>
            <w:t>报告认为，判断消费率高低，除了国际横向比较，还要与本国的供给能力比较。部分由于技术进步提速，我国供给能力得到提升，这也意味着中国的潜在增长得到支撑。</w:t>
          </w:r>
        </w:p>
        <w:p w14:paraId="4C13DB1D">
          <w:pPr>
            <w:spacing w:before="156" w:beforeLines="50" w:after="156"/>
            <w:ind w:firstLine="0" w:firstLineChars="0"/>
            <w:rPr>
              <w:rFonts w:hint="eastAsia" w:ascii="黑体" w:hAnsi="黑体" w:eastAsia="黑体"/>
              <w:b/>
              <w:sz w:val="32"/>
              <w:u w:val="single"/>
            </w:rPr>
          </w:pPr>
          <w:r>
            <w:rPr>
              <w:rFonts w:hint="eastAsia" w:ascii="黑体" w:hAnsi="黑体" w:eastAsia="黑体"/>
              <w:b/>
              <w:sz w:val="32"/>
              <w:u w:val="single"/>
            </w:rPr>
            <w:t>专题聚焦</w:t>
          </w:r>
        </w:p>
        <w:p w14:paraId="30C9CCC4">
          <w:pPr>
            <w:spacing w:after="156"/>
            <w:ind w:firstLine="0" w:firstLineChars="0"/>
            <w:rPr>
              <w:rFonts w:hint="eastAsia" w:ascii="黑体" w:hAnsi="黑体" w:eastAsia="黑体"/>
              <w:b/>
              <w:sz w:val="32"/>
            </w:rPr>
          </w:pPr>
          <w:bookmarkStart w:id="0" w:name="OLE_LINK2"/>
          <w:r>
            <w:rPr>
              <w:rFonts w:hint="eastAsia" w:ascii="黑体" w:hAnsi="黑体" w:eastAsia="黑体"/>
              <w:b/>
              <w:sz w:val="32"/>
            </w:rPr>
            <w:t>非农企稳，降息时点或将推迟</w:t>
          </w:r>
        </w:p>
        <w:bookmarkEnd w:id="0"/>
        <w:p w14:paraId="48C13DE4">
          <w:pPr>
            <w:spacing w:after="312" w:afterLines="100"/>
            <w:ind w:firstLine="0" w:firstLineChars="0"/>
            <w:rPr>
              <w:sz w:val="32"/>
            </w:rPr>
          </w:pPr>
          <w:r>
            <w:rPr>
              <w:rFonts w:hint="eastAsia"/>
              <w:sz w:val="32"/>
            </w:rPr>
            <w:t>美国1月非农就业数据超预期，失业率回落。报告认为，美国劳动力市场存在阶段性企稳的可能性，但难言强劲。对货币政策而言，短期内降息的必要性进一步下降，降息时点或将推迟。</w:t>
          </w:r>
        </w:p>
        <w:p w14:paraId="387020A1">
          <w:pPr>
            <w:spacing w:after="156"/>
            <w:ind w:firstLine="0" w:firstLineChars="0"/>
            <w:rPr>
              <w:rFonts w:hint="eastAsia" w:ascii="黑体" w:hAnsi="黑体" w:eastAsia="黑体"/>
              <w:b/>
              <w:sz w:val="32"/>
            </w:rPr>
          </w:pPr>
          <w:bookmarkStart w:id="1" w:name="OLE_LINK6"/>
          <w:r>
            <w:rPr>
              <w:rFonts w:hint="eastAsia" w:ascii="黑体" w:hAnsi="黑体" w:eastAsia="黑体"/>
              <w:b/>
              <w:sz w:val="32"/>
            </w:rPr>
            <w:t>回调到位了吗？</w:t>
          </w:r>
        </w:p>
        <w:bookmarkEnd w:id="1"/>
        <w:p w14:paraId="70AD2106">
          <w:pPr>
            <w:spacing w:before="156" w:beforeLines="50" w:after="156"/>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40" w:right="1021" w:bottom="1440" w:left="1021" w:header="851" w:footer="992" w:gutter="0"/>
              <w:cols w:space="425" w:num="1"/>
              <w:docGrid w:type="lines" w:linePitch="312" w:charSpace="0"/>
            </w:sectPr>
          </w:pPr>
          <w:r>
            <w:rPr>
              <w:rFonts w:hint="eastAsia"/>
              <w:sz w:val="32"/>
            </w:rPr>
            <w:t>报告认为，2026开年以来，受流动性收紧、特色结构拖累等影响，港股整体跑输。后市前景或取决于三个维度：信用周期决定指数空间，产业趋势决定结构强弱，流动性则会放大波动。</w:t>
          </w:r>
        </w:p>
      </w:sdtContent>
    </w:sdt>
    <w:p w14:paraId="3CD8E57B">
      <w:pPr>
        <w:spacing w:before="312" w:beforeLines="100" w:after="156"/>
        <w:ind w:firstLine="0" w:firstLineChars="0"/>
        <w:rPr>
          <w:rFonts w:hint="eastAsia" w:ascii="黑体" w:hAnsi="黑体" w:eastAsia="黑体"/>
          <w:b/>
          <w:sz w:val="32"/>
          <w:u w:val="single"/>
        </w:rPr>
      </w:pPr>
      <w:r>
        <w:rPr>
          <w:rFonts w:hint="eastAsia" w:ascii="黑体" w:hAnsi="黑体" w:eastAsia="黑体"/>
          <w:b/>
          <w:sz w:val="32"/>
          <w:u w:val="single"/>
        </w:rPr>
        <w:t>宏观专栏</w:t>
      </w:r>
    </w:p>
    <w:p w14:paraId="1A752654">
      <w:pPr>
        <w:spacing w:after="156" w:line="440" w:lineRule="exact"/>
        <w:ind w:firstLine="0" w:firstLineChars="0"/>
        <w:rPr>
          <w:rFonts w:hint="eastAsia" w:ascii="黑体" w:hAnsi="黑体" w:eastAsia="黑体"/>
          <w:b/>
          <w:sz w:val="32"/>
        </w:rPr>
      </w:pPr>
      <w:r>
        <w:rPr>
          <w:rFonts w:hint="eastAsia" w:ascii="黑体" w:hAnsi="黑体" w:eastAsia="黑体"/>
          <w:b/>
          <w:sz w:val="32"/>
        </w:rPr>
        <w:t>关于资本账户的若干迷思</w:t>
      </w:r>
    </w:p>
    <w:p w14:paraId="52FBD8DE">
      <w:pPr>
        <w:spacing w:after="156"/>
        <w:ind w:firstLine="560"/>
        <w:rPr>
          <w:bCs/>
          <w:iCs/>
        </w:rPr>
      </w:pPr>
      <w:r>
        <w:rPr>
          <w:rFonts w:hint="eastAsia"/>
          <w:bCs/>
          <w:iCs/>
        </w:rPr>
        <w:t>扩大资本账户开放或许是最有共识但也最有争议的改革议题之一。说最有共识，是因为大多数人都认同资本账户开放是市场化改革和高水平对外开放的应有之义，也是一个迟早要实现的目标。“十五五”规划建议明确提出“提升资本项目开放水平”。说最具争议，是因为在政策、学界和市场参与者中间，围绕资本账户开放的担忧也从未停止：一旦放开，是否必然引发资本外流？是否会冲击汇率稳定、甚至引发金融风险？每当外部环境变化或资本流动出现波动，这些担忧便会被迅速放大，并在实践中表现为共识在开放和收紧之间的摇摆。</w:t>
      </w:r>
    </w:p>
    <w:p w14:paraId="22BBA699">
      <w:pPr>
        <w:spacing w:after="156"/>
        <w:ind w:firstLine="560"/>
        <w:rPr>
          <w:bCs/>
          <w:iCs/>
        </w:rPr>
      </w:pPr>
      <w:r>
        <w:rPr>
          <w:rFonts w:hint="eastAsia"/>
          <w:bCs/>
          <w:iCs/>
        </w:rPr>
        <w:t>这些担忧有相当一部分源于对资本流动、汇率形成机制以及相关政策工具的认知偏差。还有部分经验判断，在当前的内外环境和制度条件下已未必成立。在全球货币秩序加速重构的战略窗口期，进一步推进资本账户开放的现实条件正在趋于成熟，更开放的资本账户对于中国从经济大国迈向金融与货币强国也有重要意义。但要稳步提升资本账户开放水平，前提是破除长期存在的认知偏差。</w:t>
      </w:r>
    </w:p>
    <w:p w14:paraId="13F30F48">
      <w:pPr>
        <w:spacing w:after="156"/>
        <w:ind w:firstLine="560"/>
        <w:rPr>
          <w:bCs/>
          <w:iCs/>
        </w:rPr>
      </w:pPr>
      <w:r>
        <w:rPr>
          <w:rFonts w:hint="eastAsia"/>
          <w:bCs/>
          <w:iCs/>
        </w:rPr>
        <w:t>基于此，本文围绕资本外流、汇率决定、货币互换、外汇管理等关注度较高的议题，系统梳理资本账户开放过程中最常见的七个误区，力求在更理性、更完整的分析框架下，澄清误解、校准预期，为进一步提升资本账户开放水平提供参考。</w:t>
      </w:r>
    </w:p>
    <w:p w14:paraId="1FA30721">
      <w:pPr>
        <w:spacing w:after="156"/>
        <w:ind w:firstLine="560"/>
        <w:rPr>
          <w:bCs/>
          <w:iCs/>
        </w:rPr>
      </w:pPr>
      <w:r>
        <w:rPr>
          <w:rFonts w:hint="eastAsia"/>
          <w:bCs/>
          <w:iCs/>
        </w:rPr>
        <w:t>需要强调的是，资本账户开放并非“0或1”的选择题，更不是一放了之。实践中，资本账户开放必须与宏观调控、金融改革和风险防范统筹推进，并根据内外部形势变化动态调整。只有在正确认知的基础上，资本账户开放才能成为提升金融体系韧性与资源配置效率的助力，而非风险的来源。</w:t>
      </w:r>
    </w:p>
    <w:tbl>
      <w:tblPr>
        <w:tblStyle w:val="17"/>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2"/>
      </w:tblGrid>
      <w:tr w14:paraId="2ABFCBCD">
        <w:tc>
          <w:tcPr>
            <w:tcW w:w="9412" w:type="dxa"/>
          </w:tcPr>
          <w:p w14:paraId="722FEA88">
            <w:pPr>
              <w:spacing w:before="62" w:beforeLines="20" w:after="0" w:afterLines="0" w:line="360" w:lineRule="exact"/>
              <w:ind w:firstLine="0" w:firstLineChars="0"/>
              <w:rPr>
                <w:b/>
                <w:sz w:val="26"/>
                <w:szCs w:val="26"/>
                <w:lang w:val="de-DE"/>
              </w:rPr>
            </w:pPr>
            <w:r>
              <w:rPr>
                <w:rFonts w:hint="eastAsia"/>
                <w:b/>
                <w:sz w:val="26"/>
                <w:szCs w:val="26"/>
              </w:rPr>
              <w:t>以上观点来自：202</w:t>
            </w:r>
            <w:r>
              <w:rPr>
                <w:b/>
                <w:sz w:val="26"/>
                <w:szCs w:val="26"/>
              </w:rPr>
              <w:t>6</w:t>
            </w:r>
            <w:r>
              <w:rPr>
                <w:rFonts w:hint="eastAsia"/>
                <w:b/>
                <w:sz w:val="26"/>
                <w:szCs w:val="26"/>
              </w:rPr>
              <w:t>年2月9日中金公司研究部已发布的</w:t>
            </w:r>
            <w:r>
              <w:rPr>
                <w:b/>
                <w:sz w:val="26"/>
                <w:szCs w:val="26"/>
              </w:rPr>
              <w:t>《</w:t>
            </w:r>
            <w:r>
              <w:rPr>
                <w:rFonts w:hint="eastAsia"/>
                <w:b/>
                <w:sz w:val="26"/>
                <w:szCs w:val="26"/>
              </w:rPr>
              <w:t>关于资本账户的若干迷思</w:t>
            </w:r>
            <w:r>
              <w:rPr>
                <w:b/>
                <w:sz w:val="26"/>
                <w:szCs w:val="26"/>
              </w:rPr>
              <w:t>》</w:t>
            </w:r>
          </w:p>
          <w:p w14:paraId="003C7777">
            <w:pPr>
              <w:spacing w:after="0" w:afterLines="0" w:line="360" w:lineRule="exact"/>
              <w:ind w:firstLine="0" w:firstLineChars="0"/>
              <w:rPr>
                <w:sz w:val="26"/>
                <w:szCs w:val="26"/>
                <w:lang w:val="de-DE"/>
              </w:rPr>
            </w:pPr>
            <w:r>
              <w:rPr>
                <w:rFonts w:hint="eastAsia"/>
                <w:sz w:val="26"/>
                <w:szCs w:val="26"/>
              </w:rPr>
              <w:t>缪延亮</w:t>
            </w:r>
            <w:r>
              <w:rPr>
                <w:rFonts w:hint="eastAsia"/>
                <w:sz w:val="26"/>
                <w:szCs w:val="26"/>
                <w:lang w:val="de-DE"/>
              </w:rPr>
              <w:t xml:space="preserve"> </w:t>
            </w:r>
            <w:r>
              <w:rPr>
                <w:rFonts w:hint="eastAsia"/>
                <w:sz w:val="26"/>
                <w:szCs w:val="26"/>
              </w:rPr>
              <w:t>分析员</w:t>
            </w:r>
            <w:r>
              <w:rPr>
                <w:rFonts w:hint="eastAsia"/>
                <w:sz w:val="26"/>
                <w:szCs w:val="26"/>
                <w:lang w:val="de-DE"/>
              </w:rPr>
              <w:t xml:space="preserve"> SAC </w:t>
            </w:r>
            <w:r>
              <w:rPr>
                <w:rFonts w:hint="eastAsia"/>
                <w:sz w:val="26"/>
                <w:szCs w:val="26"/>
              </w:rPr>
              <w:t>执业证书编号</w:t>
            </w:r>
            <w:r>
              <w:rPr>
                <w:rFonts w:hint="eastAsia"/>
                <w:sz w:val="26"/>
                <w:szCs w:val="26"/>
                <w:lang w:val="de-DE"/>
              </w:rPr>
              <w:t>：S0080525060005 SFC CE Ref：BTS724</w:t>
            </w:r>
          </w:p>
        </w:tc>
      </w:tr>
    </w:tbl>
    <w:p w14:paraId="5A69D67B">
      <w:pPr>
        <w:spacing w:before="312" w:beforeLines="100" w:after="156"/>
        <w:ind w:firstLine="0" w:firstLineChars="0"/>
        <w:rPr>
          <w:rFonts w:hint="eastAsia" w:ascii="黑体" w:hAnsi="黑体" w:eastAsia="黑体"/>
          <w:b/>
          <w:sz w:val="32"/>
          <w:u w:val="single"/>
        </w:rPr>
      </w:pPr>
      <w:r>
        <w:rPr>
          <w:rFonts w:hint="eastAsia" w:ascii="黑体" w:hAnsi="黑体" w:eastAsia="黑体"/>
          <w:b/>
          <w:sz w:val="32"/>
          <w:u w:val="single"/>
        </w:rPr>
        <w:t>宏观专栏</w:t>
      </w:r>
    </w:p>
    <w:p w14:paraId="34BE9B4C">
      <w:pPr>
        <w:spacing w:after="156"/>
        <w:ind w:firstLine="0" w:firstLineChars="0"/>
        <w:rPr>
          <w:rFonts w:hint="eastAsia" w:ascii="黑体" w:hAnsi="黑体" w:eastAsia="黑体"/>
          <w:b/>
          <w:sz w:val="32"/>
        </w:rPr>
      </w:pPr>
      <w:r>
        <w:rPr>
          <w:rFonts w:hint="eastAsia" w:ascii="黑体" w:hAnsi="黑体" w:eastAsia="黑体"/>
          <w:b/>
          <w:sz w:val="32"/>
        </w:rPr>
        <w:t>另眼看消费</w:t>
      </w:r>
    </w:p>
    <w:p w14:paraId="73F16BC9">
      <w:pPr>
        <w:spacing w:after="156"/>
        <w:ind w:firstLine="560"/>
        <w:rPr>
          <w:bCs/>
          <w:iCs/>
        </w:rPr>
      </w:pPr>
      <w:r>
        <w:rPr>
          <w:rFonts w:hint="eastAsia"/>
          <w:bCs/>
          <w:iCs/>
        </w:rPr>
        <w:t>近期大家对中国消费率的高低讨论比较多。比如，有的研究从消费分项入手，进行国际横向对比，认为中国消费率没有那么低。不管是分项比较还是总量比较，横向比较虽然有参考意义，但是不全面。我们认为，判断消费率高低，除了国际横向比较，还要与本国的供给能力比较。部分由于技术进步提速，我国供给能力得到提升，这也意味着中国的潜在增长得到支撑。物价持续偏弱也说明中国实际增长低于潜在增长。在外需已经较好的情况下，有必要提升消费来匹配供给，也就是让实际增长往潜在增速靠拢。此外，也要用动态眼光来看消费，因为人们对美好生活的追求是无限的。从历史发展看，消费品类是不断丰富和增加的，质量也是提升的。提升消费不仅是短期增长的诉求，也是创新的驱动力，因为消费影响企业利润，而企业利润会影响科研投入，进而影响潜在增长。“十五五”规划建议把“居民消费率明显提高”作为未来五年经济社会发展的目标之一，我们对此充满期待</w:t>
      </w:r>
      <w:r>
        <w:rPr>
          <w:bCs/>
          <w:iCs/>
          <w:vertAlign w:val="superscript"/>
        </w:rPr>
        <w:footnoteReference w:id="0"/>
      </w:r>
      <w:r>
        <w:rPr>
          <w:rFonts w:hint="eastAsia"/>
          <w:bCs/>
          <w:iCs/>
        </w:rPr>
        <w:t>。</w:t>
      </w:r>
    </w:p>
    <w:p w14:paraId="5C111350">
      <w:pPr>
        <w:spacing w:after="156" w:line="600" w:lineRule="exact"/>
        <w:ind w:firstLine="560"/>
        <w:rPr>
          <w:bCs/>
          <w:iCs/>
        </w:rPr>
      </w:pPr>
    </w:p>
    <w:p w14:paraId="1C76FF2A">
      <w:pPr>
        <w:spacing w:after="156" w:line="600" w:lineRule="exact"/>
        <w:ind w:firstLine="560"/>
        <w:rPr>
          <w:bCs/>
          <w:iCs/>
        </w:rPr>
      </w:pPr>
    </w:p>
    <w:p w14:paraId="3AF8327E">
      <w:pPr>
        <w:spacing w:after="156" w:line="600" w:lineRule="exact"/>
        <w:ind w:firstLine="560"/>
        <w:rPr>
          <w:bCs/>
          <w:iCs/>
        </w:rPr>
      </w:pPr>
    </w:p>
    <w:p w14:paraId="7F9053BC">
      <w:pPr>
        <w:spacing w:after="156" w:line="600" w:lineRule="exact"/>
        <w:ind w:firstLine="560"/>
        <w:rPr>
          <w:bCs/>
          <w:iCs/>
        </w:rPr>
      </w:pPr>
    </w:p>
    <w:p w14:paraId="37A28DC5">
      <w:pPr>
        <w:spacing w:after="156" w:line="920" w:lineRule="exact"/>
        <w:ind w:firstLine="560"/>
        <w:rPr>
          <w:bCs/>
          <w:iCs/>
        </w:rPr>
      </w:pPr>
    </w:p>
    <w:p w14:paraId="1D8297D9">
      <w:pPr>
        <w:spacing w:after="156" w:line="600" w:lineRule="exact"/>
        <w:ind w:firstLine="560"/>
        <w:rPr>
          <w:bCs/>
          <w:iCs/>
        </w:rPr>
      </w:pPr>
    </w:p>
    <w:tbl>
      <w:tblPr>
        <w:tblStyle w:val="17"/>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2"/>
      </w:tblGrid>
      <w:tr w14:paraId="4089DFA7">
        <w:tc>
          <w:tcPr>
            <w:tcW w:w="9412" w:type="dxa"/>
          </w:tcPr>
          <w:p w14:paraId="2FE0EED3">
            <w:pPr>
              <w:spacing w:before="62" w:beforeLines="20" w:after="0" w:afterLines="0" w:line="360" w:lineRule="exact"/>
              <w:ind w:firstLine="0" w:firstLineChars="0"/>
              <w:rPr>
                <w:b/>
                <w:sz w:val="26"/>
                <w:szCs w:val="26"/>
              </w:rPr>
            </w:pPr>
            <w:r>
              <w:rPr>
                <w:rFonts w:hint="eastAsia"/>
                <w:b/>
                <w:sz w:val="26"/>
                <w:szCs w:val="26"/>
              </w:rPr>
              <w:t>以上观点来自：202</w:t>
            </w:r>
            <w:r>
              <w:rPr>
                <w:b/>
                <w:sz w:val="26"/>
                <w:szCs w:val="26"/>
              </w:rPr>
              <w:t>6</w:t>
            </w:r>
            <w:r>
              <w:rPr>
                <w:rFonts w:hint="eastAsia"/>
                <w:b/>
                <w:sz w:val="26"/>
                <w:szCs w:val="26"/>
              </w:rPr>
              <w:t>年2月12日中金公司研究部已发布的《另眼看消费》</w:t>
            </w:r>
          </w:p>
          <w:p w14:paraId="2DB8CD62">
            <w:pPr>
              <w:spacing w:after="0" w:afterLines="0" w:line="360" w:lineRule="exact"/>
              <w:ind w:firstLine="0" w:firstLineChars="0"/>
              <w:rPr>
                <w:sz w:val="26"/>
                <w:szCs w:val="26"/>
              </w:rPr>
            </w:pPr>
            <w:r>
              <w:rPr>
                <w:rFonts w:hint="eastAsia"/>
                <w:sz w:val="26"/>
                <w:szCs w:val="26"/>
              </w:rPr>
              <w:t>张文朗 分析员 SAC 执业证书编号：S0080520080009 SFC CE Ref：BFE988</w:t>
            </w:r>
          </w:p>
          <w:p w14:paraId="32E2C41A">
            <w:pPr>
              <w:spacing w:after="0" w:afterLines="0" w:line="360" w:lineRule="exact"/>
              <w:ind w:firstLine="0" w:firstLineChars="0"/>
              <w:rPr>
                <w:sz w:val="26"/>
                <w:szCs w:val="26"/>
              </w:rPr>
            </w:pPr>
            <w:r>
              <w:rPr>
                <w:rFonts w:hint="eastAsia"/>
                <w:sz w:val="26"/>
                <w:szCs w:val="26"/>
              </w:rPr>
              <w:t>段玉柱 分析员 SAC 执业证书编号：S0080521080004 SFC CE Ref：BWF061</w:t>
            </w:r>
          </w:p>
        </w:tc>
      </w:tr>
    </w:tbl>
    <w:p w14:paraId="7000EEE6">
      <w:pPr>
        <w:spacing w:before="312" w:beforeLines="100" w:after="156"/>
        <w:ind w:firstLine="0" w:firstLineChars="0"/>
        <w:rPr>
          <w:rFonts w:hint="eastAsia" w:ascii="黑体" w:hAnsi="黑体" w:eastAsia="黑体"/>
          <w:b/>
          <w:sz w:val="32"/>
          <w:u w:val="single"/>
        </w:rPr>
      </w:pPr>
      <w:r>
        <w:rPr>
          <w:rFonts w:hint="eastAsia" w:ascii="黑体" w:hAnsi="黑体" w:eastAsia="黑体"/>
          <w:b/>
          <w:sz w:val="32"/>
          <w:u w:val="single"/>
        </w:rPr>
        <w:t>专题聚焦</w:t>
      </w:r>
    </w:p>
    <w:p w14:paraId="0455D9D9">
      <w:pPr>
        <w:spacing w:after="156"/>
        <w:ind w:firstLine="0" w:firstLineChars="0"/>
        <w:rPr>
          <w:rFonts w:hint="eastAsia" w:ascii="黑体" w:hAnsi="黑体" w:eastAsia="黑体"/>
          <w:b/>
          <w:sz w:val="32"/>
        </w:rPr>
      </w:pPr>
      <w:r>
        <w:rPr>
          <w:rFonts w:hint="eastAsia" w:ascii="黑体" w:hAnsi="黑体" w:eastAsia="黑体"/>
          <w:b/>
          <w:sz w:val="32"/>
        </w:rPr>
        <w:t>非农企稳，降息时点或将推迟</w:t>
      </w:r>
    </w:p>
    <w:p w14:paraId="633EF9D3">
      <w:pPr>
        <w:spacing w:after="156"/>
        <w:ind w:firstLine="562"/>
        <w:rPr>
          <w:b/>
          <w:bCs/>
        </w:rPr>
      </w:pPr>
      <w:r>
        <w:rPr>
          <w:rFonts w:hint="eastAsia"/>
          <w:b/>
          <w:bCs/>
        </w:rPr>
        <w:t>美国1月新增非农就业13万人，远超市场预期，失业率降至4.3%。</w:t>
      </w:r>
      <w:r>
        <w:rPr>
          <w:b/>
          <w:bCs/>
        </w:rPr>
        <w:t>从结构上看，</w:t>
      </w:r>
      <w:r>
        <w:rPr>
          <w:rFonts w:hint="eastAsia"/>
          <w:b/>
          <w:bCs/>
        </w:rPr>
        <w:t>就业岗位主要由医疗保健、社会救助和建筑行业贡献，政府部门、金融和科技等白领行业萎缩。年度修正后，2025年的就业数据共计下修约90万人，显示劳动力市场基础较弱。往前看，美国劳动力市场存在阶段性企稳的可能性，但难言强劲。高关税、移民政策收紧、政府裁员、以及AI对劳动力的替代，这些不利就业增长的因素都没有消退。尽管如此，我们认为非农企稳仍将使美联储保持耐心，短期内降息的必要性下降，降息时间点或将推迟至6月。</w:t>
      </w:r>
    </w:p>
    <w:p w14:paraId="020301BA">
      <w:pPr>
        <w:spacing w:after="156"/>
        <w:ind w:firstLine="562"/>
      </w:pPr>
      <w:r>
        <w:rPr>
          <w:b/>
          <w:bCs/>
        </w:rPr>
        <w:t>美国非农就业数据</w:t>
      </w:r>
      <w:r>
        <w:rPr>
          <w:rFonts w:hint="eastAsia"/>
          <w:b/>
          <w:bCs/>
        </w:rPr>
        <w:t>大幅超</w:t>
      </w:r>
      <w:r>
        <w:rPr>
          <w:b/>
          <w:bCs/>
        </w:rPr>
        <w:t>预期，失业率回落。</w:t>
      </w:r>
      <w:r>
        <w:rPr>
          <w:rFonts w:hint="eastAsia"/>
        </w:rPr>
        <w:t>1</w:t>
      </w:r>
      <w:r>
        <w:t>月非农就业新增13万人，显著高于市场预期的7万人，亦较去年12月的4.8万人</w:t>
      </w:r>
      <w:r>
        <w:rPr>
          <w:rFonts w:hint="eastAsia"/>
        </w:rPr>
        <w:t>明显</w:t>
      </w:r>
      <w:r>
        <w:t>反弹</w:t>
      </w:r>
      <w:r>
        <w:rPr>
          <w:rFonts w:hint="eastAsia"/>
        </w:rPr>
        <w:t>。</w:t>
      </w:r>
      <w:r>
        <w:t>从结构上看，就业增长主要由医疗保健、社会救助及建筑业拉动</w:t>
      </w:r>
      <w:r>
        <w:rPr>
          <w:rFonts w:hint="eastAsia"/>
        </w:rPr>
        <w:t>。其中，</w:t>
      </w:r>
      <w:r>
        <w:t>医疗保健行业新增8.2万人，社会救助行业新增4.2万人，</w:t>
      </w:r>
      <w:r>
        <w:rPr>
          <w:rFonts w:hint="eastAsia"/>
        </w:rPr>
        <w:t>两者几乎贡献了全部就业增量。</w:t>
      </w:r>
      <w:r>
        <w:t>建筑业新增3.3万人，表现亮眼，主要由非住宅专业承包商（+2.5万人）驱动，或与AI相关的数据中心等基建投资需求有关。与之相对，联邦政府就业减少3.4万人，成为本月最大拖累，</w:t>
      </w:r>
      <w:r>
        <w:rPr>
          <w:rFonts w:hint="eastAsia"/>
        </w:rPr>
        <w:t>反映特朗普削减政府员工的影响仍在发酵。</w:t>
      </w:r>
      <w:r>
        <w:t>金融行业就业减少2.2万人，</w:t>
      </w:r>
      <w:r>
        <w:rPr>
          <w:rFonts w:hint="eastAsia"/>
        </w:rPr>
        <w:t>信息科技行业减少1.2万人，反映AI加快渗透对白领工作的替代作用。</w:t>
      </w:r>
    </w:p>
    <w:p w14:paraId="4865E987">
      <w:pPr>
        <w:spacing w:after="156"/>
        <w:ind w:firstLine="560"/>
        <w:rPr>
          <w:b/>
          <w:bCs/>
        </w:rPr>
      </w:pPr>
      <w:r>
        <w:rPr>
          <w:rFonts w:hint="eastAsia"/>
        </w:rPr>
        <w:t>1月</w:t>
      </w:r>
      <w:r>
        <w:t>失业率降至4.3%，较上月回落0.1个百分点。</w:t>
      </w:r>
      <w:r>
        <w:rPr>
          <w:rFonts w:hint="eastAsia"/>
        </w:rPr>
        <w:t>失业人数的下降主要来自重新与新进入劳动力市场者，而代表裁员的永久性失业则上升。近期包括1月UPS</w:t>
      </w:r>
      <w:r>
        <w:rPr>
          <w:vertAlign w:val="superscript"/>
        </w:rPr>
        <w:footnoteReference w:id="1"/>
      </w:r>
      <w:r>
        <w:rPr>
          <w:rFonts w:hint="eastAsia"/>
        </w:rPr>
        <w:t>和亚马逊</w:t>
      </w:r>
      <w:r>
        <w:rPr>
          <w:vertAlign w:val="superscript"/>
        </w:rPr>
        <w:footnoteReference w:id="2"/>
      </w:r>
      <w:r>
        <w:rPr>
          <w:rFonts w:hint="eastAsia"/>
        </w:rPr>
        <w:t>在内的一批公司宣布裁员计划，而Anthropic推出的新一代AI工具可能对软件类行业造成冲击，也可能在未来影响企业招聘决策</w:t>
      </w:r>
      <w:r>
        <w:rPr>
          <w:vertAlign w:val="superscript"/>
        </w:rPr>
        <w:footnoteReference w:id="3"/>
      </w:r>
      <w:r>
        <w:rPr>
          <w:rFonts w:hint="eastAsia"/>
        </w:rPr>
        <w:t>。上周公布的12月空缺职位数下降至2020年以来的最低水平，也表明企业招聘需求仍在下降。</w:t>
      </w:r>
    </w:p>
    <w:p w14:paraId="08BCB94A">
      <w:pPr>
        <w:spacing w:after="156"/>
        <w:ind w:firstLine="560"/>
      </w:pPr>
      <w:r>
        <w:rPr>
          <w:rFonts w:hint="eastAsia"/>
        </w:rPr>
        <w:t>另一方面，</w:t>
      </w:r>
      <w:r>
        <w:rPr>
          <w:b/>
          <w:bCs/>
        </w:rPr>
        <w:t>劳工统计局对2025年历史数据大幅下修。</w:t>
      </w:r>
      <w:r>
        <w:t>数据显示，2025年整体就业基数下修约90万人，全年非农新增就业从58万人大幅修正至18万人，</w:t>
      </w:r>
      <w:r>
        <w:rPr>
          <w:rFonts w:hint="eastAsia"/>
        </w:rPr>
        <w:t>相当于月均新增就业只有1.5万人，</w:t>
      </w:r>
      <w:r>
        <w:t>表明过去一年劳动力市场实际状况弱于市场此前认知。这意味着，</w:t>
      </w:r>
      <w:r>
        <w:rPr>
          <w:rFonts w:hint="eastAsia"/>
        </w:rPr>
        <w:t>对于任何大幅增长的就业数据，都不宜过度解读。</w:t>
      </w:r>
    </w:p>
    <w:p w14:paraId="4B1CFCD0">
      <w:pPr>
        <w:spacing w:after="156"/>
        <w:ind w:firstLine="560"/>
      </w:pPr>
      <w:r>
        <w:rPr>
          <w:rFonts w:hint="eastAsia"/>
        </w:rPr>
        <w:t>往前看，我们认为美国劳动力市场</w:t>
      </w:r>
      <w:r>
        <w:rPr>
          <w:rFonts w:hint="eastAsia"/>
          <w:b/>
          <w:bCs/>
        </w:rPr>
        <w:t>存在阶段性企稳的可能性，但难言强劲。</w:t>
      </w:r>
      <w:r>
        <w:rPr>
          <w:rFonts w:hint="eastAsia"/>
        </w:rPr>
        <w:t>当前劳动力市场面临的压力是多方面的，包括高关税下企业招聘意愿下降，移民政策收紧导致劳动力供给下降，政府部门持续精简人员，以及AI技术对劳动力的替代。这些因素目前都没有看到明显的改善迹象，因此我们判断非农数据的大幅回暖可能是短暂的。</w:t>
      </w:r>
    </w:p>
    <w:p w14:paraId="29001F2B">
      <w:pPr>
        <w:spacing w:after="156"/>
        <w:ind w:firstLine="562"/>
        <w:rPr>
          <w:b/>
          <w:bCs/>
        </w:rPr>
      </w:pPr>
      <w:r>
        <w:rPr>
          <w:rFonts w:hint="eastAsia"/>
          <w:b/>
          <w:bCs/>
        </w:rPr>
        <w:t>对货币政策而言，短期内降息的必要性进一步下降。</w:t>
      </w:r>
      <w:r>
        <w:rPr>
          <w:rFonts w:hint="eastAsia"/>
        </w:rPr>
        <w:t>2026年开年以来的美国经济有好有坏，但总体指向一个较为稳健的宏观环境。非农数据的企稳也意味着货币宽松没有迫切性。近期，一些美联储官员也释放了偏鹰派的信号：达拉斯联储主席洛根称，通胀降温不足以支持进一步降息，除非劳动力市场出现“实质性”疲软</w:t>
      </w:r>
      <w:r>
        <w:rPr>
          <w:vertAlign w:val="superscript"/>
        </w:rPr>
        <w:footnoteReference w:id="4"/>
      </w:r>
      <w:r>
        <w:rPr>
          <w:rFonts w:hint="eastAsia"/>
        </w:rPr>
        <w:t>。克利夫兰联储主席哈马克则表示，利率或将在“相当一段时间”维持不变</w:t>
      </w:r>
      <w:r>
        <w:rPr>
          <w:vertAlign w:val="superscript"/>
        </w:rPr>
        <w:footnoteReference w:id="5"/>
      </w:r>
      <w:r>
        <w:rPr>
          <w:rFonts w:hint="eastAsia"/>
        </w:rPr>
        <w:t>。这些言论表明，任何降息的呼声都会在美联储内部遭遇阻力。综合判断，我们认为美联储年内</w:t>
      </w:r>
      <w:r>
        <w:rPr>
          <w:rFonts w:hint="eastAsia"/>
          <w:b/>
          <w:bCs/>
        </w:rPr>
        <w:t>仍将降息两次，但降息时间点或将推迟至6月。</w:t>
      </w:r>
    </w:p>
    <w:p w14:paraId="4D7EE361">
      <w:pPr>
        <w:spacing w:after="156"/>
        <w:ind w:firstLine="0" w:firstLineChars="0"/>
      </w:pPr>
    </w:p>
    <w:p w14:paraId="12DEC274">
      <w:pPr>
        <w:spacing w:after="156" w:line="640" w:lineRule="exact"/>
        <w:ind w:firstLine="0" w:firstLineChars="0"/>
        <w:rPr>
          <w:rFonts w:hint="eastAsia"/>
        </w:rPr>
      </w:pPr>
    </w:p>
    <w:p w14:paraId="504B97A0">
      <w:pPr>
        <w:spacing w:after="156" w:line="880" w:lineRule="exact"/>
        <w:ind w:firstLine="0" w:firstLineChars="0"/>
      </w:pPr>
    </w:p>
    <w:tbl>
      <w:tblPr>
        <w:tblStyle w:val="17"/>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2"/>
      </w:tblGrid>
      <w:tr w14:paraId="383BC8DC">
        <w:tc>
          <w:tcPr>
            <w:tcW w:w="9412" w:type="dxa"/>
          </w:tcPr>
          <w:p w14:paraId="2D96E026">
            <w:pPr>
              <w:spacing w:before="62" w:beforeLines="20" w:after="0" w:afterLines="0" w:line="360" w:lineRule="exact"/>
              <w:ind w:firstLine="0" w:firstLineChars="0"/>
              <w:rPr>
                <w:b/>
                <w:sz w:val="26"/>
                <w:szCs w:val="26"/>
              </w:rPr>
            </w:pPr>
            <w:r>
              <w:rPr>
                <w:rFonts w:hint="eastAsia"/>
                <w:b/>
                <w:sz w:val="26"/>
                <w:szCs w:val="26"/>
              </w:rPr>
              <w:t>以上观点来自：202</w:t>
            </w:r>
            <w:r>
              <w:rPr>
                <w:b/>
                <w:sz w:val="26"/>
                <w:szCs w:val="26"/>
              </w:rPr>
              <w:t>6</w:t>
            </w:r>
            <w:r>
              <w:rPr>
                <w:rFonts w:hint="eastAsia"/>
                <w:b/>
                <w:sz w:val="26"/>
                <w:szCs w:val="26"/>
              </w:rPr>
              <w:t>年2月12日中金公司研究部已发布的</w:t>
            </w:r>
            <w:r>
              <w:rPr>
                <w:b/>
                <w:sz w:val="26"/>
                <w:szCs w:val="26"/>
              </w:rPr>
              <w:t>《</w:t>
            </w:r>
            <w:r>
              <w:rPr>
                <w:rFonts w:hint="eastAsia"/>
                <w:b/>
                <w:sz w:val="26"/>
                <w:szCs w:val="26"/>
              </w:rPr>
              <w:t>非农企稳，降息时点或将推迟</w:t>
            </w:r>
            <w:r>
              <w:rPr>
                <w:b/>
                <w:sz w:val="26"/>
                <w:szCs w:val="26"/>
              </w:rPr>
              <w:t>》</w:t>
            </w:r>
          </w:p>
          <w:p w14:paraId="02B6312C">
            <w:pPr>
              <w:spacing w:after="0" w:afterLines="0" w:line="360" w:lineRule="exact"/>
              <w:ind w:firstLine="0" w:firstLineChars="0"/>
              <w:rPr>
                <w:sz w:val="26"/>
                <w:szCs w:val="26"/>
              </w:rPr>
            </w:pPr>
            <w:r>
              <w:rPr>
                <w:rFonts w:hint="eastAsia"/>
                <w:sz w:val="26"/>
                <w:szCs w:val="26"/>
              </w:rPr>
              <w:t>刘政宁 分析员 SAC 执业证书编号：S0080520080007 SFC CE Ref：BRF443</w:t>
            </w:r>
          </w:p>
          <w:p w14:paraId="0181CCC7">
            <w:pPr>
              <w:spacing w:after="0" w:afterLines="0" w:line="360" w:lineRule="exact"/>
              <w:ind w:firstLine="0" w:firstLineChars="0"/>
              <w:rPr>
                <w:sz w:val="26"/>
                <w:szCs w:val="26"/>
              </w:rPr>
            </w:pPr>
            <w:r>
              <w:rPr>
                <w:rFonts w:hint="eastAsia"/>
                <w:sz w:val="26"/>
                <w:szCs w:val="26"/>
              </w:rPr>
              <w:t>肖捷文 分析员 SAC 执业证书编号：S0080523060021 SFC CE Ref：BVG234</w:t>
            </w:r>
          </w:p>
          <w:p w14:paraId="7EDE7BAE">
            <w:pPr>
              <w:spacing w:after="0" w:afterLines="0" w:line="360" w:lineRule="exact"/>
              <w:ind w:firstLine="0" w:firstLineChars="0"/>
              <w:rPr>
                <w:sz w:val="26"/>
                <w:szCs w:val="26"/>
              </w:rPr>
            </w:pPr>
            <w:r>
              <w:rPr>
                <w:rFonts w:hint="eastAsia"/>
                <w:sz w:val="26"/>
                <w:szCs w:val="26"/>
              </w:rPr>
              <w:t>张文朗 分析员 SAC 执业证书编号：S0080520080009 SFC CE Ref：BFE988</w:t>
            </w:r>
          </w:p>
        </w:tc>
      </w:tr>
    </w:tbl>
    <w:p w14:paraId="5E8232FF">
      <w:pPr>
        <w:spacing w:after="156"/>
        <w:ind w:firstLine="0" w:firstLineChars="0"/>
        <w:rPr>
          <w:rFonts w:hint="eastAsia" w:ascii="黑体" w:hAnsi="黑体" w:eastAsia="黑体"/>
          <w:b/>
          <w:sz w:val="32"/>
          <w:u w:val="single"/>
        </w:rPr>
      </w:pPr>
      <w:r>
        <w:br w:type="page"/>
      </w:r>
      <w:r>
        <w:rPr>
          <w:rFonts w:hint="eastAsia" w:ascii="黑体" w:hAnsi="黑体" w:eastAsia="黑体"/>
          <w:b/>
          <w:sz w:val="32"/>
          <w:u w:val="single"/>
        </w:rPr>
        <w:t>专题聚焦</w:t>
      </w:r>
    </w:p>
    <w:p w14:paraId="0DEA18AA">
      <w:pPr>
        <w:spacing w:after="156" w:line="460" w:lineRule="exact"/>
        <w:ind w:firstLine="0" w:firstLineChars="0"/>
        <w:rPr>
          <w:rFonts w:hint="eastAsia" w:ascii="黑体" w:hAnsi="黑体" w:eastAsia="黑体"/>
          <w:b/>
          <w:sz w:val="32"/>
        </w:rPr>
      </w:pPr>
      <w:r>
        <w:rPr>
          <w:rFonts w:hint="eastAsia" w:ascii="黑体" w:hAnsi="黑体" w:eastAsia="黑体"/>
          <w:b/>
          <w:sz w:val="32"/>
        </w:rPr>
        <w:t>回调到位了吗？</w:t>
      </w:r>
    </w:p>
    <w:p w14:paraId="28665668">
      <w:pPr>
        <w:spacing w:after="156"/>
        <w:ind w:firstLine="560"/>
        <w:rPr>
          <w:bCs/>
          <w:iCs/>
        </w:rPr>
      </w:pPr>
      <w:r>
        <w:rPr>
          <w:rFonts w:hint="eastAsia"/>
          <w:bCs/>
          <w:iCs/>
        </w:rPr>
        <w:t>2</w:t>
      </w:r>
      <w:r>
        <w:rPr>
          <w:bCs/>
          <w:iCs/>
        </w:rPr>
        <w:t>026</w:t>
      </w:r>
      <w:r>
        <w:rPr>
          <w:rFonts w:hint="eastAsia"/>
          <w:bCs/>
          <w:iCs/>
        </w:rPr>
        <w:t>开年以来，港股整体跑输，尤其是作为“核心资产”的恒生科技表现“垫底”。虽然看似恒指与上证综指表现差异不大，但宽基指数本就掩盖了结构上的较大“方差”，例如元旦后</w:t>
      </w:r>
      <w:r>
        <w:rPr>
          <w:bCs/>
          <w:iCs/>
        </w:rPr>
        <w:t>A</w:t>
      </w:r>
      <w:r>
        <w:rPr>
          <w:rFonts w:hint="eastAsia"/>
          <w:bCs/>
          <w:iCs/>
        </w:rPr>
        <w:t>股迎来1</w:t>
      </w:r>
      <w:r>
        <w:rPr>
          <w:bCs/>
          <w:iCs/>
        </w:rPr>
        <w:t>7</w:t>
      </w:r>
      <w:r>
        <w:rPr>
          <w:rFonts w:hint="eastAsia"/>
          <w:bCs/>
          <w:iCs/>
        </w:rPr>
        <w:t>连阳的“开门红”，相比尤为强劲的景气赛道，港股却明显落后（《</w:t>
      </w:r>
      <w:r>
        <w:fldChar w:fldCharType="begin"/>
      </w:r>
      <w:r>
        <w:instrText xml:space="preserve"> HYPERLINK "https://www.research.cicc.com/zh_CN/report?id=382582&amp;entrance_source=ReportList" </w:instrText>
      </w:r>
      <w:r>
        <w:fldChar w:fldCharType="separate"/>
      </w:r>
      <w:r>
        <w:rPr>
          <w:rStyle w:val="20"/>
          <w:rFonts w:hint="eastAsia"/>
          <w:bCs/>
          <w:iCs/>
        </w:rPr>
        <w:t>A股与港股谁“错”了？</w:t>
      </w:r>
      <w:r>
        <w:rPr>
          <w:rStyle w:val="20"/>
          <w:rFonts w:hint="eastAsia"/>
          <w:bCs/>
          <w:iCs/>
        </w:rPr>
        <w:fldChar w:fldCharType="end"/>
      </w:r>
      <w:r>
        <w:rPr>
          <w:rFonts w:hint="eastAsia"/>
          <w:bCs/>
          <w:iCs/>
        </w:rPr>
        <w:t>》）。</w:t>
      </w:r>
    </w:p>
    <w:p w14:paraId="790D89F4">
      <w:pPr>
        <w:spacing w:after="156"/>
        <w:ind w:firstLine="560"/>
        <w:rPr>
          <w:bCs/>
          <w:iCs/>
        </w:rPr>
      </w:pPr>
      <w:r>
        <w:rPr>
          <w:bCs/>
          <w:iCs/>
        </w:rPr>
        <w:t>1</w:t>
      </w:r>
      <w:r>
        <w:rPr>
          <w:rFonts w:hint="eastAsia"/>
          <w:bCs/>
          <w:iCs/>
        </w:rPr>
        <w:t>月中旬A股逐步“降温”后，南向转为更多关注港股，再加上新消费、有色和互联网的催化，共同推动港股的一波走高。但随后，全球贵金属动荡、市场对美联储鹰派的担忧，中美科技龙头“逆风”，使得港股承受了来自风险偏好、流动性和结构上的三重压力。2月以来，恒生指数下跌3%（vs.</w:t>
      </w:r>
      <w:r>
        <w:rPr>
          <w:bCs/>
          <w:iCs/>
        </w:rPr>
        <w:t xml:space="preserve"> </w:t>
      </w:r>
      <w:r>
        <w:rPr>
          <w:rFonts w:hint="eastAsia"/>
          <w:bCs/>
          <w:iCs/>
        </w:rPr>
        <w:t>上证指数和标普5</w:t>
      </w:r>
      <w:r>
        <w:rPr>
          <w:bCs/>
          <w:iCs/>
        </w:rPr>
        <w:t>00</w:t>
      </w:r>
      <w:r>
        <w:rPr>
          <w:rFonts w:hint="eastAsia"/>
          <w:bCs/>
          <w:iCs/>
        </w:rPr>
        <w:t>小幅下跌1.</w:t>
      </w:r>
      <w:r>
        <w:rPr>
          <w:bCs/>
          <w:iCs/>
        </w:rPr>
        <w:t>3%</w:t>
      </w:r>
      <w:r>
        <w:rPr>
          <w:rFonts w:hint="eastAsia"/>
          <w:bCs/>
          <w:iCs/>
        </w:rPr>
        <w:t>和0</w:t>
      </w:r>
      <w:r>
        <w:rPr>
          <w:bCs/>
          <w:iCs/>
        </w:rPr>
        <w:t>.1%</w:t>
      </w:r>
      <w:r>
        <w:rPr>
          <w:rFonts w:hint="eastAsia"/>
          <w:bCs/>
          <w:iCs/>
        </w:rPr>
        <w:t>），恒生科技下跌6</w:t>
      </w:r>
      <w:r>
        <w:rPr>
          <w:bCs/>
          <w:iCs/>
        </w:rPr>
        <w:t>.5%</w:t>
      </w:r>
      <w:r>
        <w:rPr>
          <w:rFonts w:hint="eastAsia"/>
          <w:bCs/>
          <w:iCs/>
        </w:rPr>
        <w:t>（vs</w:t>
      </w:r>
      <w:r>
        <w:rPr>
          <w:bCs/>
          <w:iCs/>
        </w:rPr>
        <w:t xml:space="preserve">. </w:t>
      </w:r>
      <w:r>
        <w:rPr>
          <w:rFonts w:hint="eastAsia"/>
          <w:bCs/>
          <w:iCs/>
        </w:rPr>
        <w:t>科创5</w:t>
      </w:r>
      <w:r>
        <w:rPr>
          <w:bCs/>
          <w:iCs/>
        </w:rPr>
        <w:t>0</w:t>
      </w:r>
      <w:r>
        <w:rPr>
          <w:rFonts w:hint="eastAsia"/>
          <w:bCs/>
          <w:iCs/>
        </w:rPr>
        <w:t>和纳斯达克下跌5</w:t>
      </w:r>
      <w:r>
        <w:rPr>
          <w:bCs/>
          <w:iCs/>
        </w:rPr>
        <w:t>.8%</w:t>
      </w:r>
      <w:r>
        <w:rPr>
          <w:rFonts w:hint="eastAsia"/>
          <w:bCs/>
          <w:iCs/>
        </w:rPr>
        <w:t>和1</w:t>
      </w:r>
      <w:r>
        <w:rPr>
          <w:bCs/>
          <w:iCs/>
        </w:rPr>
        <w:t>.8%</w:t>
      </w:r>
      <w:r>
        <w:rPr>
          <w:rFonts w:hint="eastAsia"/>
          <w:bCs/>
          <w:iCs/>
        </w:rPr>
        <w:t>），跌至去年7月以来新低，自1</w:t>
      </w:r>
      <w:r>
        <w:rPr>
          <w:bCs/>
          <w:iCs/>
        </w:rPr>
        <w:t>0</w:t>
      </w:r>
      <w:r>
        <w:rPr>
          <w:rFonts w:hint="eastAsia"/>
          <w:bCs/>
          <w:iCs/>
        </w:rPr>
        <w:t>月高点回撤接近2</w:t>
      </w:r>
      <w:r>
        <w:rPr>
          <w:bCs/>
          <w:iCs/>
        </w:rPr>
        <w:t>0</w:t>
      </w:r>
      <w:r>
        <w:rPr>
          <w:rFonts w:hint="eastAsia"/>
          <w:bCs/>
          <w:iCs/>
        </w:rPr>
        <w:t>%。</w:t>
      </w:r>
    </w:p>
    <w:p w14:paraId="17723BFF">
      <w:pPr>
        <w:spacing w:after="156"/>
        <w:ind w:firstLine="560"/>
        <w:rPr>
          <w:bCs/>
          <w:iCs/>
        </w:rPr>
      </w:pPr>
      <w:r>
        <w:rPr>
          <w:rFonts w:hint="eastAsia"/>
          <w:bCs/>
          <w:iCs/>
        </w:rPr>
        <w:t>面对近期的波动，尤其是恒生科技的快速回调，很多投资者都担心市场的逻辑和趋势是否被破坏，强势的科技和有色还能继续配置。我们在本文中重点回答几个问题，</w:t>
      </w:r>
      <w:r>
        <w:rPr>
          <w:rFonts w:hint="eastAsia"/>
          <w:b/>
          <w:bCs/>
          <w:iCs/>
        </w:rPr>
        <w:t>港股为何跑输，何时才能跑赢？市场调整到位了吗？应该如何操作和应对？</w:t>
      </w:r>
    </w:p>
    <w:p w14:paraId="78766F14">
      <w:pPr>
        <w:spacing w:after="156"/>
        <w:ind w:firstLine="562"/>
        <w:rPr>
          <w:b/>
          <w:bCs/>
          <w:iCs/>
        </w:rPr>
      </w:pPr>
      <w:r>
        <w:rPr>
          <w:rFonts w:hint="eastAsia"/>
          <w:b/>
          <w:bCs/>
          <w:iCs/>
        </w:rPr>
        <w:t>港股为何跑输？流动性收紧担忧、特色结构拖累，宏观基本面偏弱</w:t>
      </w:r>
    </w:p>
    <w:p w14:paraId="72903F49">
      <w:pPr>
        <w:spacing w:after="156"/>
        <w:ind w:firstLine="562"/>
        <w:rPr>
          <w:bCs/>
          <w:iCs/>
        </w:rPr>
      </w:pPr>
      <w:r>
        <w:rPr>
          <w:rFonts w:hint="eastAsia"/>
          <w:b/>
          <w:bCs/>
          <w:iCs/>
        </w:rPr>
        <w:t>2</w:t>
      </w:r>
      <w:r>
        <w:rPr>
          <w:b/>
          <w:bCs/>
          <w:iCs/>
        </w:rPr>
        <w:t>025</w:t>
      </w:r>
      <w:r>
        <w:rPr>
          <w:rFonts w:hint="eastAsia"/>
          <w:b/>
          <w:bCs/>
          <w:iCs/>
        </w:rPr>
        <w:t>年以来，美A港三地以季度维度切换轮动，呈现此消彼长的“跷跷板”效应</w:t>
      </w:r>
      <w:r>
        <w:rPr>
          <w:rFonts w:hint="eastAsia"/>
          <w:bCs/>
          <w:iCs/>
        </w:rPr>
        <w:t>：一季度DeepSeek引领中国资产重估，恒生科技领跑；二季度美国对等关税后，美股依靠AI龙头业绩与资本开支超预期支撑涨幅，港股新消费和创新药启动，但恒生科技未能收复3月高点，表现落后于美股；三季度国内存款“活化”、资金入市，叠加中美映射逻辑下的科创算力行情，A股后来居上，南向资金逐渐转弱；9月“宽松交易”升温、中国互联网龙头AI叙事强化，港股一度领先，但1</w:t>
      </w:r>
      <w:r>
        <w:rPr>
          <w:bCs/>
          <w:iCs/>
        </w:rPr>
        <w:t>0</w:t>
      </w:r>
      <w:r>
        <w:rPr>
          <w:rFonts w:hint="eastAsia"/>
          <w:bCs/>
          <w:iCs/>
        </w:rPr>
        <w:t>月后由于港股特色结构并非市场关注焦点（分红、互联网、新消费和创新药），且海外美债利率居高不下、港股IPO节奏加快，港股再度落后。</w:t>
      </w:r>
    </w:p>
    <w:p w14:paraId="22D8B873">
      <w:pPr>
        <w:spacing w:after="156"/>
        <w:ind w:firstLine="560"/>
        <w:rPr>
          <w:bCs/>
          <w:iCs/>
        </w:rPr>
      </w:pPr>
      <w:r>
        <w:rPr>
          <w:rFonts w:hint="eastAsia"/>
          <w:bCs/>
          <w:iCs/>
        </w:rPr>
        <w:t>回顾看，港股在“跑赢”与“跑输”间循环往复，并非毫无规律，行情切换逻辑根植于基本面、流动性、特色结构三个维度。</w:t>
      </w:r>
      <w:r>
        <w:rPr>
          <w:rFonts w:hint="eastAsia"/>
          <w:b/>
          <w:bCs/>
          <w:iCs/>
        </w:rPr>
        <w:t>当流动性收紧、特色结构不受关注或基本面偏弱时，港股往往跑输，反之跑赢。</w:t>
      </w:r>
      <w:r>
        <w:rPr>
          <w:rFonts w:hint="eastAsia"/>
          <w:bCs/>
          <w:iCs/>
        </w:rPr>
        <w:t>2月以来，港股尤其是恒生科技大跌，也正源自这三方面的变化：</w:t>
      </w:r>
    </w:p>
    <w:p w14:paraId="3BB73B04">
      <w:pPr>
        <w:spacing w:after="156"/>
        <w:ind w:firstLine="562"/>
        <w:rPr>
          <w:bCs/>
          <w:iCs/>
        </w:rPr>
      </w:pPr>
      <w:r>
        <w:rPr>
          <w:b/>
          <w:iCs/>
        </w:rPr>
        <w:t>►</w:t>
      </w:r>
      <w:r>
        <w:rPr>
          <w:b/>
          <w:iCs/>
        </w:rPr>
        <w:tab/>
      </w:r>
      <w:r>
        <w:rPr>
          <w:rFonts w:hint="eastAsia"/>
          <w:b/>
          <w:iCs/>
        </w:rPr>
        <w:t xml:space="preserve"> 市场</w:t>
      </w:r>
      <w:r>
        <w:rPr>
          <w:rFonts w:hint="eastAsia"/>
          <w:b/>
          <w:bCs/>
          <w:iCs/>
        </w:rPr>
        <w:t>担忧流动性收紧：</w:t>
      </w:r>
      <w:r>
        <w:rPr>
          <w:rFonts w:hint="eastAsia"/>
          <w:bCs/>
          <w:iCs/>
        </w:rPr>
        <w:t>特朗普提名“相对鹰派”且支持缩表的沃什为新任美联储主席，投资者担忧全球流动性趋紧。这一预期直接冲击了对流动性高度敏感的各类资产，恒生科技、纳斯达克和比特币等同步疲软印证了这一影响。沃什支持降息，但其支持缩表的姿态使得降息沿着利率曲线往长端传导的效果被部分抵消，曲线或因此变陡</w:t>
      </w:r>
      <w:r>
        <w:rPr>
          <w:rFonts w:hint="eastAsia"/>
          <w:b/>
          <w:bCs/>
          <w:iCs/>
        </w:rPr>
        <w:t>。不论是基于历史经验还是逻辑分析，美债长端利率对港股的边际影响均更为显著</w:t>
      </w:r>
      <w:r>
        <w:rPr>
          <w:rFonts w:hint="eastAsia"/>
          <w:bCs/>
          <w:iCs/>
        </w:rPr>
        <w:t>：美债1</w:t>
      </w:r>
      <w:r>
        <w:rPr>
          <w:bCs/>
          <w:iCs/>
        </w:rPr>
        <w:t>0</w:t>
      </w:r>
      <w:r>
        <w:rPr>
          <w:rFonts w:hint="eastAsia"/>
          <w:bCs/>
          <w:iCs/>
        </w:rPr>
        <w:t>s</w:t>
      </w:r>
      <w:r>
        <w:rPr>
          <w:bCs/>
          <w:iCs/>
        </w:rPr>
        <w:t>2s</w:t>
      </w:r>
      <w:r>
        <w:rPr>
          <w:rFonts w:hint="eastAsia"/>
          <w:bCs/>
          <w:iCs/>
        </w:rPr>
        <w:t>期限利差与恒指走势整体负相关，且盈利兑现靠后、对长期贴现率敏感的新经济板块在港股占比较大。</w:t>
      </w:r>
    </w:p>
    <w:p w14:paraId="7F5FE224">
      <w:pPr>
        <w:spacing w:after="156"/>
        <w:ind w:firstLine="562"/>
        <w:rPr>
          <w:bCs/>
          <w:iCs/>
        </w:rPr>
      </w:pPr>
      <w:r>
        <w:rPr>
          <w:b/>
          <w:iCs/>
        </w:rPr>
        <w:t>►</w:t>
      </w:r>
      <w:r>
        <w:rPr>
          <w:b/>
          <w:iCs/>
        </w:rPr>
        <w:tab/>
      </w:r>
      <w:r>
        <w:rPr>
          <w:rFonts w:hint="eastAsia"/>
          <w:b/>
          <w:iCs/>
        </w:rPr>
        <w:t xml:space="preserve"> 市场重</w:t>
      </w:r>
      <w:r>
        <w:rPr>
          <w:rFonts w:hint="eastAsia"/>
          <w:b/>
          <w:bCs/>
          <w:iCs/>
        </w:rPr>
        <w:t>权重股“逆风”拖累科技板块表现：</w:t>
      </w:r>
      <w:r>
        <w:rPr>
          <w:rFonts w:hint="eastAsia"/>
          <w:bCs/>
          <w:iCs/>
        </w:rPr>
        <w:t>近期贵金属市场剧烈波动压制全球风险偏好。市场情绪本就脆弱，内外消息面的扰动则加剧了港股波动。</w:t>
      </w:r>
      <w:r>
        <w:rPr>
          <w:rFonts w:hint="eastAsia"/>
          <w:b/>
          <w:bCs/>
          <w:iCs/>
        </w:rPr>
        <w:t>1）外部看，</w:t>
      </w:r>
      <w:r>
        <w:rPr>
          <w:rFonts w:hint="eastAsia"/>
          <w:bCs/>
          <w:iCs/>
        </w:rPr>
        <w:t>美股财报季中投资者对科技龙头A</w:t>
      </w:r>
      <w:r>
        <w:rPr>
          <w:bCs/>
          <w:iCs/>
        </w:rPr>
        <w:t>I</w:t>
      </w:r>
      <w:r>
        <w:rPr>
          <w:rFonts w:hint="eastAsia"/>
          <w:bCs/>
          <w:iCs/>
        </w:rPr>
        <w:t>资本开支的态度出现分歧，此前“</w:t>
      </w:r>
      <w:r>
        <w:rPr>
          <w:bCs/>
          <w:iCs/>
        </w:rPr>
        <w:t>AI</w:t>
      </w:r>
      <w:r>
        <w:rPr>
          <w:rFonts w:hint="eastAsia"/>
          <w:bCs/>
          <w:iCs/>
        </w:rPr>
        <w:t>资本开支越大则获益越多”的线性叙事被质疑，不论是A</w:t>
      </w:r>
      <w:r>
        <w:rPr>
          <w:bCs/>
          <w:iCs/>
        </w:rPr>
        <w:t>I</w:t>
      </w:r>
      <w:r>
        <w:rPr>
          <w:rFonts w:hint="eastAsia"/>
          <w:bCs/>
          <w:iCs/>
        </w:rPr>
        <w:t>能力和商业化进展领先的谷歌和微软，还是云业务承压的亚马逊，市场开始担忧其A</w:t>
      </w:r>
      <w:r>
        <w:rPr>
          <w:bCs/>
          <w:iCs/>
        </w:rPr>
        <w:t>I</w:t>
      </w:r>
      <w:r>
        <w:rPr>
          <w:rFonts w:hint="eastAsia"/>
          <w:bCs/>
          <w:iCs/>
        </w:rPr>
        <w:t>资本开支的超预期上行会影响公司的现金流和投资回报，美国科技股的波动也映射到了港股的对应标的。</w:t>
      </w:r>
      <w:r>
        <w:rPr>
          <w:rFonts w:hint="eastAsia"/>
          <w:b/>
          <w:bCs/>
          <w:iCs/>
        </w:rPr>
        <w:t>2）内部看，</w:t>
      </w:r>
      <w:r>
        <w:rPr>
          <w:rFonts w:hint="eastAsia"/>
          <w:bCs/>
          <w:iCs/>
        </w:rPr>
        <w:t>腾讯因AI资本开支相对克制，部分投资者解读为可能错失行业窗口，互联网相关服务增值税调整的传言也有扰动，腾讯上周近1</w:t>
      </w:r>
      <w:r>
        <w:rPr>
          <w:bCs/>
          <w:iCs/>
        </w:rPr>
        <w:t>0</w:t>
      </w:r>
      <w:r>
        <w:rPr>
          <w:rFonts w:hint="eastAsia"/>
          <w:bCs/>
          <w:iCs/>
        </w:rPr>
        <w:t>%的跌幅拖累板块表现；同时，春节期间阿里、百度、腾讯为提升用户活跃度大规模派发红包，市场认为更多是短期KPI导向行为，与核心A</w:t>
      </w:r>
      <w:r>
        <w:rPr>
          <w:bCs/>
          <w:iCs/>
        </w:rPr>
        <w:t>I</w:t>
      </w:r>
      <w:r>
        <w:rPr>
          <w:rFonts w:hint="eastAsia"/>
          <w:bCs/>
          <w:iCs/>
        </w:rPr>
        <w:t>能力构建关联有限，反而令投资者担忧企业盈利</w:t>
      </w:r>
      <w:r>
        <w:rPr>
          <w:bCs/>
          <w:iCs/>
          <w:vertAlign w:val="superscript"/>
        </w:rPr>
        <w:footnoteReference w:id="6"/>
      </w:r>
      <w:r>
        <w:rPr>
          <w:rFonts w:hint="eastAsia"/>
          <w:bCs/>
          <w:iCs/>
        </w:rPr>
        <w:t>。</w:t>
      </w:r>
    </w:p>
    <w:p w14:paraId="0CCA2311">
      <w:pPr>
        <w:spacing w:after="156"/>
        <w:ind w:firstLine="562"/>
        <w:rPr>
          <w:bCs/>
          <w:iCs/>
        </w:rPr>
      </w:pPr>
      <w:r>
        <w:rPr>
          <w:b/>
          <w:iCs/>
        </w:rPr>
        <w:t>►</w:t>
      </w:r>
      <w:r>
        <w:rPr>
          <w:b/>
          <w:iCs/>
        </w:rPr>
        <w:tab/>
      </w:r>
      <w:r>
        <w:rPr>
          <w:rFonts w:hint="eastAsia"/>
          <w:b/>
          <w:iCs/>
        </w:rPr>
        <w:t xml:space="preserve"> 基本面偏弱下港股通常跑输：</w:t>
      </w:r>
      <w:r>
        <w:rPr>
          <w:rFonts w:hint="eastAsia"/>
          <w:bCs/>
          <w:iCs/>
        </w:rPr>
        <w:t>恒生指数/沪深300的相对收益与中国制造业PMI走向正相关，1</w:t>
      </w:r>
      <w:r>
        <w:rPr>
          <w:bCs/>
          <w:iCs/>
        </w:rPr>
        <w:t>-2</w:t>
      </w:r>
      <w:r>
        <w:rPr>
          <w:rFonts w:hint="eastAsia"/>
          <w:bCs/>
          <w:iCs/>
        </w:rPr>
        <w:t>月制造业P</w:t>
      </w:r>
      <w:r>
        <w:rPr>
          <w:bCs/>
          <w:iCs/>
        </w:rPr>
        <w:t>MI</w:t>
      </w:r>
      <w:r>
        <w:rPr>
          <w:rFonts w:hint="eastAsia"/>
          <w:bCs/>
          <w:iCs/>
        </w:rPr>
        <w:t>环比下降0</w:t>
      </w:r>
      <w:r>
        <w:rPr>
          <w:bCs/>
          <w:iCs/>
        </w:rPr>
        <w:t>.8</w:t>
      </w:r>
      <w:r>
        <w:rPr>
          <w:rFonts w:hint="eastAsia"/>
          <w:bCs/>
          <w:iCs/>
        </w:rPr>
        <w:t>ppt至4</w:t>
      </w:r>
      <w:r>
        <w:rPr>
          <w:bCs/>
          <w:iCs/>
        </w:rPr>
        <w:t>9.3</w:t>
      </w:r>
      <w:r>
        <w:rPr>
          <w:rFonts w:hint="eastAsia"/>
          <w:bCs/>
          <w:iCs/>
        </w:rPr>
        <w:t>，低于市场预期。基本面修复仍需政策持续发力，不过当前政策总量刺激意愿不强，更注重结构、节奏和效率。1</w:t>
      </w:r>
      <w:r>
        <w:rPr>
          <w:bCs/>
          <w:iCs/>
        </w:rPr>
        <w:t>2</w:t>
      </w:r>
      <w:r>
        <w:rPr>
          <w:rFonts w:hint="eastAsia"/>
          <w:bCs/>
          <w:iCs/>
        </w:rPr>
        <w:t>月新增社会融资规模同比少增6</w:t>
      </w:r>
      <w:r>
        <w:rPr>
          <w:bCs/>
          <w:iCs/>
        </w:rPr>
        <w:t>460</w:t>
      </w:r>
      <w:r>
        <w:rPr>
          <w:rFonts w:hint="eastAsia"/>
          <w:bCs/>
          <w:iCs/>
        </w:rPr>
        <w:t>亿元、广义财政支出同比下降0</w:t>
      </w:r>
      <w:r>
        <w:rPr>
          <w:bCs/>
          <w:iCs/>
        </w:rPr>
        <w:t>.7</w:t>
      </w:r>
      <w:r>
        <w:rPr>
          <w:rFonts w:hint="eastAsia"/>
          <w:bCs/>
          <w:iCs/>
        </w:rPr>
        <w:t>%，信贷和财政支持均弱于去年同期。</w:t>
      </w:r>
    </w:p>
    <w:p w14:paraId="6EFAFF7E">
      <w:pPr>
        <w:spacing w:after="156"/>
        <w:ind w:firstLine="562"/>
        <w:rPr>
          <w:b/>
          <w:bCs/>
          <w:iCs/>
        </w:rPr>
      </w:pPr>
      <w:r>
        <w:rPr>
          <w:rFonts w:hint="eastAsia"/>
          <w:b/>
          <w:bCs/>
          <w:iCs/>
        </w:rPr>
        <w:t>港股后市展望？信用周期决定指数空间，产业趋势决定结构强弱，流动性放大波动</w:t>
      </w:r>
    </w:p>
    <w:p w14:paraId="2E287A6A">
      <w:pPr>
        <w:spacing w:after="156"/>
        <w:ind w:firstLine="560"/>
        <w:rPr>
          <w:bCs/>
          <w:iCs/>
        </w:rPr>
      </w:pPr>
      <w:r>
        <w:rPr>
          <w:rFonts w:hint="eastAsia"/>
          <w:bCs/>
          <w:iCs/>
        </w:rPr>
        <w:t>港股近期回调是基本面依然偏弱情况下，市场担忧流动性收紧和港股特色结构吸引力下降的共同结果。我们在《</w:t>
      </w:r>
      <w:r>
        <w:fldChar w:fldCharType="begin"/>
      </w:r>
      <w:r>
        <w:instrText xml:space="preserve"> HYPERLINK "https://www.research.cicc.com/zh_CN/report?id=380017&amp;entrance_source=ReportList" </w:instrText>
      </w:r>
      <w:r>
        <w:fldChar w:fldCharType="separate"/>
      </w:r>
      <w:r>
        <w:rPr>
          <w:rStyle w:val="20"/>
          <w:rFonts w:hint="eastAsia"/>
          <w:bCs/>
          <w:iCs/>
        </w:rPr>
        <w:t>港股2026年展望：“牛市”的下一步</w:t>
      </w:r>
      <w:r>
        <w:rPr>
          <w:rStyle w:val="20"/>
          <w:rFonts w:hint="eastAsia"/>
          <w:bCs/>
          <w:iCs/>
        </w:rPr>
        <w:fldChar w:fldCharType="end"/>
      </w:r>
      <w:r>
        <w:rPr>
          <w:rFonts w:hint="eastAsia"/>
          <w:bCs/>
          <w:iCs/>
        </w:rPr>
        <w:t>》中强调，</w:t>
      </w:r>
      <w:r>
        <w:rPr>
          <w:rFonts w:hint="eastAsia"/>
          <w:b/>
          <w:bCs/>
          <w:iCs/>
        </w:rPr>
        <w:t>在整体信用周期震荡甚至阶段走弱的情形下，市场指数层面空间有限（恒指基准点位2</w:t>
      </w:r>
      <w:r>
        <w:rPr>
          <w:b/>
          <w:bCs/>
          <w:iCs/>
        </w:rPr>
        <w:t>8000-29000</w:t>
      </w:r>
      <w:r>
        <w:rPr>
          <w:rFonts w:hint="eastAsia"/>
          <w:b/>
          <w:bCs/>
          <w:iCs/>
        </w:rPr>
        <w:t>），机会主要来自景气结构或指数意外回撤</w:t>
      </w:r>
      <w:r>
        <w:rPr>
          <w:rFonts w:hint="eastAsia"/>
          <w:bCs/>
          <w:iCs/>
        </w:rPr>
        <w:t>，因此，从这个角度看，港股近期的疲弱也不难理解。</w:t>
      </w:r>
    </w:p>
    <w:p w14:paraId="156B43CB">
      <w:pPr>
        <w:spacing w:after="156"/>
        <w:ind w:firstLine="560"/>
        <w:rPr>
          <w:bCs/>
          <w:iCs/>
        </w:rPr>
      </w:pPr>
      <w:r>
        <w:rPr>
          <w:rFonts w:hint="eastAsia"/>
          <w:bCs/>
          <w:iCs/>
        </w:rPr>
        <w:t>往前看，后市前景也取决于这三个维度的变化：</w:t>
      </w:r>
      <w:r>
        <w:rPr>
          <w:rFonts w:hint="eastAsia"/>
          <w:b/>
          <w:bCs/>
          <w:iCs/>
        </w:rPr>
        <w:t>信用周期决定指数空间，产业趋势决定景气结构的强弱，而流动性则会放大波动。</w:t>
      </w:r>
    </w:p>
    <w:p w14:paraId="259CBCC1">
      <w:pPr>
        <w:spacing w:after="156"/>
        <w:ind w:firstLine="562"/>
        <w:rPr>
          <w:bCs/>
          <w:iCs/>
        </w:rPr>
      </w:pPr>
      <w:r>
        <w:rPr>
          <w:b/>
          <w:iCs/>
        </w:rPr>
        <w:t>►</w:t>
      </w:r>
      <w:r>
        <w:rPr>
          <w:b/>
          <w:iCs/>
        </w:rPr>
        <w:tab/>
      </w:r>
      <w:r>
        <w:rPr>
          <w:rFonts w:hint="eastAsia"/>
          <w:b/>
          <w:iCs/>
        </w:rPr>
        <w:t xml:space="preserve"> 信用周期决定指数空间。</w:t>
      </w:r>
      <w:r>
        <w:rPr>
          <w:rFonts w:hint="eastAsia"/>
          <w:bCs/>
          <w:iCs/>
        </w:rPr>
        <w:t>受收入预期偏弱、回报与成本倒挂问题影响，私人部门传统需求仍有不足，高基数下2</w:t>
      </w:r>
      <w:r>
        <w:rPr>
          <w:bCs/>
          <w:iCs/>
        </w:rPr>
        <w:t>026</w:t>
      </w:r>
      <w:r>
        <w:rPr>
          <w:rFonts w:hint="eastAsia"/>
          <w:bCs/>
          <w:iCs/>
        </w:rPr>
        <w:t>年私人社融脉冲或继续走弱，作为对冲的财政若仅是维持2</w:t>
      </w:r>
      <w:r>
        <w:rPr>
          <w:bCs/>
          <w:iCs/>
        </w:rPr>
        <w:t>025</w:t>
      </w:r>
      <w:r>
        <w:rPr>
          <w:rFonts w:hint="eastAsia"/>
          <w:bCs/>
          <w:iCs/>
        </w:rPr>
        <w:t>年的支持力度，广义财政赤字脉冲也大概率将继续走低。基准情形下，若政策仅发挥托底作用，2026年仍将转向信用周期震荡放缓但产业趋势延续。</w:t>
      </w:r>
      <w:r>
        <w:rPr>
          <w:rFonts w:hint="eastAsia"/>
          <w:b/>
          <w:bCs/>
          <w:iCs/>
        </w:rPr>
        <w:t>往前看，两会对政策总量和方向的定调是关键。</w:t>
      </w:r>
      <w:r>
        <w:rPr>
          <w:rFonts w:hint="eastAsia"/>
          <w:bCs/>
          <w:iCs/>
        </w:rPr>
        <w:t>2</w:t>
      </w:r>
      <w:r>
        <w:rPr>
          <w:bCs/>
          <w:iCs/>
        </w:rPr>
        <w:t>026</w:t>
      </w:r>
      <w:r>
        <w:rPr>
          <w:rFonts w:hint="eastAsia"/>
          <w:bCs/>
          <w:iCs/>
        </w:rPr>
        <w:t>年地方两会分省加权平均GDP增速目标从去年的5.3%小幅下调至5.1%</w:t>
      </w:r>
      <w:r>
        <w:rPr>
          <w:bCs/>
          <w:iCs/>
          <w:vertAlign w:val="superscript"/>
        </w:rPr>
        <w:footnoteReference w:id="7"/>
      </w:r>
      <w:r>
        <w:rPr>
          <w:rFonts w:hint="eastAsia"/>
          <w:bCs/>
          <w:iCs/>
        </w:rPr>
        <w:t>，后续政策效果需关注两个维度：一是看总量上是否大举发力，二是看结构上是否会向提振内需（如收入、社保）和缓释系统性风险（如化债、收储）倾斜。</w:t>
      </w:r>
      <w:r>
        <w:rPr>
          <w:rFonts w:hint="eastAsia"/>
          <w:b/>
          <w:bCs/>
          <w:iCs/>
        </w:rPr>
        <w:t>若政策仅发挥托底作用，中国信用周期大概率震荡走弱，指数空间有限。如果财政大举发力，且进一步向内需与兜底居民资产负债表倾斜，基本面或加快修复，以支撑指数表现。</w:t>
      </w:r>
    </w:p>
    <w:p w14:paraId="090210FB">
      <w:pPr>
        <w:spacing w:after="156"/>
        <w:ind w:firstLine="562"/>
        <w:rPr>
          <w:bCs/>
          <w:iCs/>
        </w:rPr>
      </w:pPr>
      <w:r>
        <w:rPr>
          <w:b/>
          <w:iCs/>
        </w:rPr>
        <w:t>►</w:t>
      </w:r>
      <w:r>
        <w:rPr>
          <w:rFonts w:hint="eastAsia"/>
          <w:b/>
          <w:iCs/>
        </w:rPr>
        <w:t xml:space="preserve"> 产业趋势决定结构强弱。</w:t>
      </w:r>
      <w:r>
        <w:rPr>
          <w:rFonts w:hint="eastAsia"/>
          <w:bCs/>
          <w:iCs/>
        </w:rPr>
        <w:t>作为港股特色的</w:t>
      </w:r>
      <w:r>
        <w:rPr>
          <w:bCs/>
          <w:iCs/>
        </w:rPr>
        <w:t>分红、科技、消费和周期四类板块，</w:t>
      </w:r>
      <w:r>
        <w:rPr>
          <w:rFonts w:hint="eastAsia"/>
          <w:bCs/>
          <w:iCs/>
        </w:rPr>
        <w:t>港股</w:t>
      </w:r>
      <w:r>
        <w:rPr>
          <w:bCs/>
          <w:iCs/>
        </w:rPr>
        <w:t>科技以互联网</w:t>
      </w:r>
      <w:r>
        <w:rPr>
          <w:rFonts w:hint="eastAsia"/>
          <w:bCs/>
          <w:iCs/>
        </w:rPr>
        <w:t>和AI模型</w:t>
      </w:r>
      <w:r>
        <w:rPr>
          <w:bCs/>
          <w:iCs/>
        </w:rPr>
        <w:t>为主，硬件占比较小；消费特色主要在新消费上；强周期板块</w:t>
      </w:r>
      <w:r>
        <w:rPr>
          <w:rFonts w:hint="eastAsia"/>
          <w:bCs/>
          <w:iCs/>
        </w:rPr>
        <w:t>以龙头公司主导，</w:t>
      </w:r>
      <w:r>
        <w:rPr>
          <w:bCs/>
          <w:iCs/>
        </w:rPr>
        <w:t>权重小于A股；分红板块</w:t>
      </w:r>
      <w:r>
        <w:rPr>
          <w:rFonts w:hint="eastAsia"/>
          <w:bCs/>
          <w:iCs/>
        </w:rPr>
        <w:t>较A股股息率更高</w:t>
      </w:r>
      <w:r>
        <w:rPr>
          <w:bCs/>
          <w:iCs/>
        </w:rPr>
        <w:t>，</w:t>
      </w:r>
      <w:r>
        <w:rPr>
          <w:rFonts w:hint="eastAsia"/>
          <w:bCs/>
          <w:iCs/>
        </w:rPr>
        <w:t>具有</w:t>
      </w:r>
      <w:r>
        <w:rPr>
          <w:bCs/>
          <w:iCs/>
        </w:rPr>
        <w:t>防御属性</w:t>
      </w:r>
      <w:r>
        <w:rPr>
          <w:rFonts w:hint="eastAsia"/>
          <w:bCs/>
          <w:iCs/>
        </w:rPr>
        <w:t>，</w:t>
      </w:r>
      <w:r>
        <w:rPr>
          <w:rFonts w:hint="eastAsia"/>
          <w:b/>
          <w:bCs/>
          <w:iCs/>
        </w:rPr>
        <w:t>因此</w:t>
      </w:r>
      <w:r>
        <w:rPr>
          <w:b/>
          <w:bCs/>
          <w:iCs/>
        </w:rPr>
        <w:t>支撑港股和估值弹性的</w:t>
      </w:r>
      <w:r>
        <w:rPr>
          <w:rFonts w:hint="eastAsia"/>
          <w:b/>
          <w:bCs/>
          <w:iCs/>
        </w:rPr>
        <w:t>主要</w:t>
      </w:r>
      <w:r>
        <w:rPr>
          <w:b/>
          <w:bCs/>
          <w:iCs/>
        </w:rPr>
        <w:t>是科技（尤其是AI）和</w:t>
      </w:r>
      <w:r>
        <w:rPr>
          <w:rFonts w:hint="eastAsia"/>
          <w:b/>
          <w:bCs/>
          <w:iCs/>
        </w:rPr>
        <w:t>新</w:t>
      </w:r>
      <w:r>
        <w:rPr>
          <w:b/>
          <w:bCs/>
          <w:iCs/>
        </w:rPr>
        <w:t>消费</w:t>
      </w:r>
      <w:r>
        <w:rPr>
          <w:rFonts w:hint="eastAsia"/>
          <w:b/>
          <w:bCs/>
          <w:iCs/>
        </w:rPr>
        <w:t>板块。</w:t>
      </w:r>
      <w:r>
        <w:rPr>
          <w:rFonts w:hint="eastAsia"/>
          <w:bCs/>
          <w:iCs/>
        </w:rPr>
        <w:t>近期关于新技术冲击旧技术商业模式、A</w:t>
      </w:r>
      <w:r>
        <w:rPr>
          <w:bCs/>
          <w:iCs/>
        </w:rPr>
        <w:t>I</w:t>
      </w:r>
      <w:r>
        <w:rPr>
          <w:rFonts w:hint="eastAsia"/>
          <w:bCs/>
          <w:iCs/>
        </w:rPr>
        <w:t>泡沫的讨论再度增多，我们判断A</w:t>
      </w:r>
      <w:r>
        <w:rPr>
          <w:bCs/>
          <w:iCs/>
        </w:rPr>
        <w:t>I</w:t>
      </w:r>
      <w:r>
        <w:rPr>
          <w:rFonts w:hint="eastAsia"/>
          <w:bCs/>
          <w:iCs/>
        </w:rPr>
        <w:t>的长期产业趋势依然存在，持续投入或是必然选择，只是结构会进一步走向分化，若港股头部科技企业能找到契合企业自身能力和发展节奏的投入方式，港股向上修复的空间和确定性或会更大。</w:t>
      </w:r>
    </w:p>
    <w:p w14:paraId="5FF3EFC6">
      <w:pPr>
        <w:spacing w:after="156"/>
        <w:ind w:firstLine="562"/>
        <w:rPr>
          <w:bCs/>
          <w:iCs/>
        </w:rPr>
      </w:pPr>
      <w:r>
        <w:rPr>
          <w:b/>
          <w:iCs/>
        </w:rPr>
        <w:t>►</w:t>
      </w:r>
      <w:r>
        <w:rPr>
          <w:b/>
          <w:iCs/>
        </w:rPr>
        <w:tab/>
      </w:r>
      <w:r>
        <w:rPr>
          <w:rFonts w:hint="eastAsia"/>
          <w:b/>
          <w:iCs/>
        </w:rPr>
        <w:t xml:space="preserve"> 流动性放大短期波动。</w:t>
      </w:r>
      <w:r>
        <w:rPr>
          <w:rFonts w:hint="eastAsia"/>
          <w:bCs/>
          <w:iCs/>
        </w:rPr>
        <w:t>港股作为离岸市场，对外部流动性更为敏感，因此外资和南向都会起到短期强化趋势的作用。</w:t>
      </w:r>
      <w:r>
        <w:rPr>
          <w:rFonts w:hint="eastAsia"/>
          <w:b/>
          <w:bCs/>
          <w:iCs/>
        </w:rPr>
        <w:t>1）</w:t>
      </w:r>
      <w:r>
        <w:rPr>
          <w:rFonts w:hint="eastAsia"/>
          <w:bCs/>
          <w:iCs/>
        </w:rPr>
        <w:t>虽然难以在短期做到缩表，但沃什的“相对鹰派”依然影响情绪，后续相关进展仍需密切关注，</w:t>
      </w:r>
      <w:r>
        <w:rPr>
          <w:rFonts w:hint="eastAsia"/>
          <w:b/>
          <w:bCs/>
          <w:iCs/>
        </w:rPr>
        <w:t>若美联储重新注入宽松信号，港股将更为受益。2）</w:t>
      </w:r>
      <w:r>
        <w:rPr>
          <w:rFonts w:hint="eastAsia"/>
          <w:bCs/>
          <w:iCs/>
        </w:rPr>
        <w:t>国内方面，在整体宏微观流动性依然充裕的大环境下，港股相比A股市场存在一定资金的跷跷板效应，即A股的强势将分散南向注意力，如去年三季度以来，反之亦然，如去年上半年。</w:t>
      </w:r>
      <w:r>
        <w:rPr>
          <w:rFonts w:hint="eastAsia"/>
          <w:b/>
          <w:bCs/>
          <w:iCs/>
        </w:rPr>
        <w:t>3）</w:t>
      </w:r>
      <w:r>
        <w:rPr>
          <w:rFonts w:hint="eastAsia"/>
          <w:bCs/>
          <w:iCs/>
        </w:rPr>
        <w:t>港股I</w:t>
      </w:r>
      <w:r>
        <w:rPr>
          <w:bCs/>
          <w:iCs/>
        </w:rPr>
        <w:t>PO</w:t>
      </w:r>
      <w:r>
        <w:rPr>
          <w:rFonts w:hint="eastAsia"/>
          <w:bCs/>
          <w:iCs/>
        </w:rPr>
        <w:t>依然活跃，当前超过4</w:t>
      </w:r>
      <w:r>
        <w:rPr>
          <w:bCs/>
          <w:iCs/>
        </w:rPr>
        <w:t>00</w:t>
      </w:r>
      <w:r>
        <w:rPr>
          <w:rFonts w:hint="eastAsia"/>
          <w:bCs/>
          <w:iCs/>
        </w:rPr>
        <w:t>家公司处于港股I</w:t>
      </w:r>
      <w:r>
        <w:rPr>
          <w:bCs/>
          <w:iCs/>
        </w:rPr>
        <w:t>PO</w:t>
      </w:r>
      <w:r>
        <w:rPr>
          <w:rFonts w:hint="eastAsia"/>
          <w:bCs/>
          <w:iCs/>
        </w:rPr>
        <w:t>申请处理中或通过聆讯的状态</w:t>
      </w:r>
      <w:r>
        <w:rPr>
          <w:bCs/>
          <w:iCs/>
          <w:vertAlign w:val="superscript"/>
        </w:rPr>
        <w:footnoteReference w:id="8"/>
      </w:r>
      <w:r>
        <w:rPr>
          <w:rFonts w:hint="eastAsia"/>
          <w:bCs/>
          <w:iCs/>
        </w:rPr>
        <w:t>，且2</w:t>
      </w:r>
      <w:r>
        <w:rPr>
          <w:bCs/>
          <w:iCs/>
        </w:rPr>
        <w:t>026</w:t>
      </w:r>
      <w:r>
        <w:rPr>
          <w:rFonts w:hint="eastAsia"/>
          <w:bCs/>
          <w:iCs/>
        </w:rPr>
        <w:t>年将有不少大型IPO解禁期陆续到来，目前已知2</w:t>
      </w:r>
      <w:r>
        <w:rPr>
          <w:bCs/>
          <w:iCs/>
        </w:rPr>
        <w:t>026</w:t>
      </w:r>
      <w:r>
        <w:rPr>
          <w:rFonts w:hint="eastAsia"/>
          <w:bCs/>
          <w:iCs/>
        </w:rPr>
        <w:t>年上半年预计解禁超过4</w:t>
      </w:r>
      <w:r>
        <w:rPr>
          <w:bCs/>
          <w:iCs/>
        </w:rPr>
        <w:t>500</w:t>
      </w:r>
      <w:r>
        <w:rPr>
          <w:rFonts w:hint="eastAsia"/>
          <w:bCs/>
          <w:iCs/>
        </w:rPr>
        <w:t>亿港币，我们认为或对港股资金面造成扰动。</w:t>
      </w:r>
    </w:p>
    <w:p w14:paraId="46AFF817">
      <w:pPr>
        <w:spacing w:after="156"/>
        <w:ind w:firstLine="560"/>
        <w:rPr>
          <w:bCs/>
          <w:iCs/>
        </w:rPr>
      </w:pPr>
      <w:r>
        <w:rPr>
          <w:rFonts w:hint="eastAsia"/>
          <w:bCs/>
          <w:iCs/>
        </w:rPr>
        <w:t>短期看，考虑到市场对于沃什上台的反应过大、A</w:t>
      </w:r>
      <w:r>
        <w:rPr>
          <w:bCs/>
          <w:iCs/>
        </w:rPr>
        <w:t>I</w:t>
      </w:r>
      <w:r>
        <w:rPr>
          <w:rFonts w:hint="eastAsia"/>
          <w:bCs/>
          <w:iCs/>
        </w:rPr>
        <w:t>泡沫和旧技术应用坍塌担忧尚不足以改变长期科技产业趋势、港股市场内部关于互联网增值税的消息也缺乏直接证据，</w:t>
      </w:r>
      <w:r>
        <w:rPr>
          <w:rFonts w:hint="eastAsia"/>
          <w:b/>
          <w:bCs/>
          <w:iCs/>
        </w:rPr>
        <w:t>市场或有超调，回撤后短期可能存在向上修复空间。</w:t>
      </w:r>
      <w:r>
        <w:rPr>
          <w:rFonts w:hint="eastAsia"/>
          <w:bCs/>
          <w:iCs/>
        </w:rPr>
        <w:t>中期看，</w:t>
      </w:r>
      <w:r>
        <w:rPr>
          <w:rFonts w:hint="eastAsia"/>
          <w:b/>
          <w:bCs/>
          <w:iCs/>
        </w:rPr>
        <w:t>基准情形下，我们判断港股盈利增长3-4%与景气结构主线情绪修复，或推动恒指中枢上行至28,000-29,000点左右</w:t>
      </w:r>
      <w:r>
        <w:rPr>
          <w:rFonts w:hint="eastAsia"/>
          <w:bCs/>
          <w:iCs/>
        </w:rPr>
        <w:t>（《</w:t>
      </w:r>
      <w:r>
        <w:fldChar w:fldCharType="begin"/>
      </w:r>
      <w:r>
        <w:instrText xml:space="preserve"> HYPERLINK "https://www.research.cicc.com/zh_CN/report?id=380017&amp;entrance_source=ReportList" </w:instrText>
      </w:r>
      <w:r>
        <w:fldChar w:fldCharType="separate"/>
      </w:r>
      <w:r>
        <w:rPr>
          <w:rStyle w:val="20"/>
          <w:rFonts w:hint="eastAsia"/>
          <w:bCs/>
          <w:iCs/>
        </w:rPr>
        <w:t>港股2026年展望：“牛市”的下一步</w:t>
      </w:r>
      <w:r>
        <w:rPr>
          <w:rStyle w:val="20"/>
          <w:rFonts w:hint="eastAsia"/>
          <w:bCs/>
          <w:iCs/>
        </w:rPr>
        <w:fldChar w:fldCharType="end"/>
      </w:r>
      <w:r>
        <w:rPr>
          <w:rFonts w:hint="eastAsia"/>
          <w:bCs/>
          <w:iCs/>
        </w:rPr>
        <w:t>》）。</w:t>
      </w:r>
    </w:p>
    <w:p w14:paraId="1293332F">
      <w:pPr>
        <w:spacing w:after="156"/>
        <w:ind w:firstLine="560"/>
        <w:rPr>
          <w:bCs/>
          <w:iCs/>
        </w:rPr>
      </w:pPr>
    </w:p>
    <w:p w14:paraId="2D99B0F5">
      <w:pPr>
        <w:spacing w:after="156"/>
        <w:ind w:firstLine="560"/>
        <w:rPr>
          <w:bCs/>
          <w:iCs/>
        </w:rPr>
      </w:pPr>
    </w:p>
    <w:p w14:paraId="6B3B1ADF">
      <w:pPr>
        <w:spacing w:after="156" w:line="320" w:lineRule="exact"/>
        <w:ind w:firstLine="560"/>
        <w:rPr>
          <w:bCs/>
          <w:iCs/>
        </w:rPr>
      </w:pPr>
    </w:p>
    <w:p w14:paraId="17E35EF0">
      <w:pPr>
        <w:spacing w:after="156"/>
        <w:ind w:firstLine="560"/>
        <w:rPr>
          <w:bCs/>
          <w:iCs/>
        </w:rPr>
      </w:pPr>
    </w:p>
    <w:p w14:paraId="214E0984">
      <w:pPr>
        <w:spacing w:after="156"/>
        <w:ind w:firstLine="562"/>
        <w:rPr>
          <w:b/>
          <w:bCs/>
          <w:iCs/>
        </w:rPr>
      </w:pPr>
    </w:p>
    <w:p w14:paraId="609381A3">
      <w:pPr>
        <w:spacing w:after="156"/>
        <w:ind w:firstLine="562"/>
        <w:rPr>
          <w:b/>
          <w:bCs/>
          <w:iCs/>
        </w:rPr>
      </w:pPr>
    </w:p>
    <w:tbl>
      <w:tblPr>
        <w:tblStyle w:val="17"/>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2"/>
      </w:tblGrid>
      <w:tr w14:paraId="19E53A38">
        <w:tc>
          <w:tcPr>
            <w:tcW w:w="9412" w:type="dxa"/>
          </w:tcPr>
          <w:p w14:paraId="43B000E5">
            <w:pPr>
              <w:spacing w:before="62" w:beforeLines="20" w:after="0" w:afterLines="0" w:line="360" w:lineRule="exact"/>
              <w:ind w:firstLine="0" w:firstLineChars="0"/>
              <w:rPr>
                <w:b/>
                <w:sz w:val="26"/>
                <w:szCs w:val="26"/>
              </w:rPr>
            </w:pPr>
            <w:r>
              <w:rPr>
                <w:rFonts w:hint="eastAsia"/>
                <w:b/>
                <w:sz w:val="26"/>
                <w:szCs w:val="26"/>
              </w:rPr>
              <w:t>以上观点来自：202</w:t>
            </w:r>
            <w:r>
              <w:rPr>
                <w:b/>
                <w:sz w:val="26"/>
                <w:szCs w:val="26"/>
              </w:rPr>
              <w:t>6</w:t>
            </w:r>
            <w:r>
              <w:rPr>
                <w:rFonts w:hint="eastAsia"/>
                <w:b/>
                <w:sz w:val="26"/>
                <w:szCs w:val="26"/>
              </w:rPr>
              <w:t>年2月10日中金公司研究部已发布的《回调到位了吗？》</w:t>
            </w:r>
          </w:p>
          <w:p w14:paraId="2D4AF590">
            <w:pPr>
              <w:spacing w:after="0" w:afterLines="0" w:line="360" w:lineRule="exact"/>
              <w:ind w:firstLine="0" w:firstLineChars="0"/>
              <w:rPr>
                <w:sz w:val="26"/>
                <w:szCs w:val="26"/>
              </w:rPr>
            </w:pPr>
            <w:r>
              <w:rPr>
                <w:rFonts w:hint="eastAsia"/>
                <w:sz w:val="26"/>
                <w:szCs w:val="26"/>
              </w:rPr>
              <w:t>刘刚</w:t>
            </w:r>
            <w:bookmarkStart w:id="2" w:name="OLE_LINK1"/>
            <w:r>
              <w:rPr>
                <w:rFonts w:hint="eastAsia"/>
                <w:sz w:val="26"/>
                <w:szCs w:val="26"/>
              </w:rPr>
              <w:t xml:space="preserve">   </w:t>
            </w:r>
            <w:bookmarkEnd w:id="2"/>
            <w:r>
              <w:rPr>
                <w:rFonts w:hint="eastAsia"/>
                <w:sz w:val="26"/>
                <w:szCs w:val="26"/>
              </w:rPr>
              <w:t>分析员 SAC 执业证书编号：S0080512030003 SFC CE Ref：AVH867</w:t>
            </w:r>
          </w:p>
          <w:p w14:paraId="53345672">
            <w:pPr>
              <w:spacing w:after="0" w:afterLines="0" w:line="360" w:lineRule="exact"/>
              <w:ind w:firstLine="0" w:firstLineChars="0"/>
              <w:rPr>
                <w:sz w:val="26"/>
                <w:szCs w:val="26"/>
              </w:rPr>
            </w:pPr>
            <w:r>
              <w:rPr>
                <w:rFonts w:hint="eastAsia"/>
                <w:sz w:val="26"/>
                <w:szCs w:val="26"/>
              </w:rPr>
              <w:t>王牧遥 分析员 SAC 执业证书编号：S0080525050003 SFC CE Ref：BWT054</w:t>
            </w:r>
          </w:p>
        </w:tc>
      </w:tr>
    </w:tbl>
    <w:p w14:paraId="762718F2">
      <w:pPr>
        <w:spacing w:after="156"/>
        <w:ind w:firstLine="0" w:firstLineChars="0"/>
      </w:pPr>
      <w:r>
        <w:rPr>
          <w:rFonts w:hint="eastAsia" w:ascii="黑体" w:hAnsi="黑体" w:eastAsia="黑体"/>
          <w:b/>
          <w:sz w:val="32"/>
        </w:rPr>
        <w:t>附：一周主要研报回顾</w:t>
      </w:r>
    </w:p>
    <w:p w14:paraId="3DB67B57">
      <w:pPr>
        <w:spacing w:before="156" w:beforeLines="50" w:after="156"/>
        <w:ind w:firstLine="0" w:firstLineChars="0"/>
        <w:rPr>
          <w:rFonts w:hint="eastAsia" w:ascii="黑体" w:hAnsi="黑体" w:eastAsia="黑体"/>
          <w:b/>
          <w:u w:val="single"/>
        </w:rPr>
      </w:pPr>
      <w:r>
        <w:rPr>
          <w:rFonts w:hint="eastAsia" w:ascii="黑体" w:hAnsi="黑体" w:eastAsia="黑体"/>
          <w:b/>
          <w:u w:val="single"/>
        </w:rPr>
        <w:t>宏观</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7911"/>
      </w:tblGrid>
      <w:tr w14:paraId="549C0D97">
        <w:trPr>
          <w:cantSplit/>
          <w:trHeight w:val="293" w:hRule="atLeast"/>
        </w:trPr>
        <w:tc>
          <w:tcPr>
            <w:tcW w:w="1501" w:type="dxa"/>
          </w:tcPr>
          <w:p w14:paraId="5DCEB361">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2.11</w:t>
            </w:r>
          </w:p>
        </w:tc>
        <w:tc>
          <w:tcPr>
            <w:tcW w:w="7911" w:type="dxa"/>
          </w:tcPr>
          <w:p w14:paraId="5DC473D1">
            <w:pPr>
              <w:adjustRightInd w:val="0"/>
              <w:snapToGrid w:val="0"/>
              <w:spacing w:after="0" w:afterLines="0" w:line="240" w:lineRule="auto"/>
              <w:ind w:firstLine="0" w:firstLineChars="0"/>
              <w:rPr>
                <w:sz w:val="26"/>
                <w:szCs w:val="26"/>
              </w:rPr>
            </w:pPr>
            <w:r>
              <w:rPr>
                <w:rFonts w:hint="eastAsia"/>
                <w:sz w:val="26"/>
                <w:szCs w:val="26"/>
              </w:rPr>
              <w:t>中国宏观热点速评：央行与银行的扩表组合 | 2025年四季度货币政策执行报告点评</w:t>
            </w:r>
          </w:p>
        </w:tc>
      </w:tr>
      <w:tr w14:paraId="0D74AC1E">
        <w:trPr>
          <w:cantSplit/>
          <w:trHeight w:val="293" w:hRule="atLeast"/>
        </w:trPr>
        <w:tc>
          <w:tcPr>
            <w:tcW w:w="1501" w:type="dxa"/>
          </w:tcPr>
          <w:p w14:paraId="6364B0F6">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2.11</w:t>
            </w:r>
          </w:p>
        </w:tc>
        <w:tc>
          <w:tcPr>
            <w:tcW w:w="7911" w:type="dxa"/>
          </w:tcPr>
          <w:p w14:paraId="28E5A842">
            <w:pPr>
              <w:adjustRightInd w:val="0"/>
              <w:snapToGrid w:val="0"/>
              <w:spacing w:after="0" w:afterLines="0" w:line="240" w:lineRule="auto"/>
              <w:ind w:firstLine="0" w:firstLineChars="0"/>
              <w:rPr>
                <w:sz w:val="26"/>
                <w:szCs w:val="26"/>
              </w:rPr>
            </w:pPr>
            <w:r>
              <w:rPr>
                <w:rFonts w:hint="eastAsia"/>
                <w:sz w:val="26"/>
                <w:szCs w:val="26"/>
              </w:rPr>
              <w:t>中国宏观简评：行业景气再考察——从五维指数看行业景气度</w:t>
            </w:r>
          </w:p>
        </w:tc>
      </w:tr>
      <w:tr w14:paraId="7CDEA77F">
        <w:trPr>
          <w:cantSplit/>
          <w:trHeight w:val="293" w:hRule="atLeast"/>
        </w:trPr>
        <w:tc>
          <w:tcPr>
            <w:tcW w:w="1501" w:type="dxa"/>
          </w:tcPr>
          <w:p w14:paraId="39A07B60">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2.12</w:t>
            </w:r>
          </w:p>
        </w:tc>
        <w:tc>
          <w:tcPr>
            <w:tcW w:w="7911" w:type="dxa"/>
          </w:tcPr>
          <w:p w14:paraId="5CA9E5B8">
            <w:pPr>
              <w:adjustRightInd w:val="0"/>
              <w:snapToGrid w:val="0"/>
              <w:spacing w:after="0" w:afterLines="0" w:line="240" w:lineRule="auto"/>
              <w:ind w:firstLine="0" w:firstLineChars="0"/>
              <w:rPr>
                <w:sz w:val="26"/>
                <w:szCs w:val="26"/>
              </w:rPr>
            </w:pPr>
            <w:r>
              <w:rPr>
                <w:rFonts w:hint="eastAsia"/>
                <w:sz w:val="26"/>
                <w:szCs w:val="26"/>
              </w:rPr>
              <w:t>中国宏观热点速评：基期轮换映升级，春节扰动不足虑——2026年1月物价数据点评</w:t>
            </w:r>
          </w:p>
        </w:tc>
      </w:tr>
      <w:tr w14:paraId="1ED300F7">
        <w:trPr>
          <w:cantSplit/>
          <w:trHeight w:val="293" w:hRule="atLeast"/>
        </w:trPr>
        <w:tc>
          <w:tcPr>
            <w:tcW w:w="1501" w:type="dxa"/>
          </w:tcPr>
          <w:p w14:paraId="0D03F274">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2.12</w:t>
            </w:r>
          </w:p>
        </w:tc>
        <w:tc>
          <w:tcPr>
            <w:tcW w:w="7911" w:type="dxa"/>
          </w:tcPr>
          <w:p w14:paraId="6B7912CC">
            <w:pPr>
              <w:adjustRightInd w:val="0"/>
              <w:snapToGrid w:val="0"/>
              <w:spacing w:after="0" w:afterLines="0" w:line="240" w:lineRule="auto"/>
              <w:ind w:firstLine="0" w:firstLineChars="0"/>
              <w:rPr>
                <w:sz w:val="26"/>
                <w:szCs w:val="26"/>
              </w:rPr>
            </w:pPr>
            <w:r>
              <w:rPr>
                <w:rFonts w:hint="eastAsia"/>
                <w:sz w:val="26"/>
                <w:szCs w:val="26"/>
              </w:rPr>
              <w:t>海外宏观简评：非农企稳，降息时点或将推迟</w:t>
            </w:r>
          </w:p>
        </w:tc>
      </w:tr>
      <w:tr w14:paraId="516C34F4">
        <w:trPr>
          <w:cantSplit/>
          <w:trHeight w:val="293" w:hRule="atLeast"/>
        </w:trPr>
        <w:tc>
          <w:tcPr>
            <w:tcW w:w="1501" w:type="dxa"/>
          </w:tcPr>
          <w:p w14:paraId="1D19C2F0">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2.12</w:t>
            </w:r>
          </w:p>
        </w:tc>
        <w:tc>
          <w:tcPr>
            <w:tcW w:w="7911" w:type="dxa"/>
          </w:tcPr>
          <w:p w14:paraId="00582ABD">
            <w:pPr>
              <w:adjustRightInd w:val="0"/>
              <w:snapToGrid w:val="0"/>
              <w:spacing w:after="0" w:afterLines="0" w:line="240" w:lineRule="auto"/>
              <w:ind w:firstLine="0" w:firstLineChars="0"/>
              <w:rPr>
                <w:sz w:val="26"/>
                <w:szCs w:val="26"/>
              </w:rPr>
            </w:pPr>
            <w:r>
              <w:rPr>
                <w:rFonts w:hint="eastAsia"/>
                <w:sz w:val="26"/>
                <w:szCs w:val="26"/>
              </w:rPr>
              <w:t>中国宏观简评：另眼看消费</w:t>
            </w:r>
          </w:p>
        </w:tc>
      </w:tr>
    </w:tbl>
    <w:p w14:paraId="57ABC64E">
      <w:pPr>
        <w:spacing w:before="156" w:beforeLines="50" w:after="156"/>
        <w:ind w:firstLine="0" w:firstLineChars="0"/>
        <w:rPr>
          <w:rFonts w:hint="eastAsia" w:ascii="黑体" w:hAnsi="黑体" w:eastAsia="黑体"/>
          <w:b/>
          <w:u w:val="single"/>
        </w:rPr>
      </w:pPr>
      <w:r>
        <w:rPr>
          <w:rFonts w:hint="eastAsia" w:ascii="黑体" w:hAnsi="黑体" w:eastAsia="黑体"/>
          <w:b/>
          <w:u w:val="single"/>
        </w:rPr>
        <w:t>策略及大宗商品</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1"/>
        <w:gridCol w:w="7881"/>
      </w:tblGrid>
      <w:tr w14:paraId="4F2490FE">
        <w:trPr>
          <w:cantSplit/>
          <w:trHeight w:val="340" w:hRule="atLeast"/>
        </w:trPr>
        <w:tc>
          <w:tcPr>
            <w:tcW w:w="1531" w:type="dxa"/>
          </w:tcPr>
          <w:p w14:paraId="73E38E5A">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2.9</w:t>
            </w:r>
          </w:p>
        </w:tc>
        <w:tc>
          <w:tcPr>
            <w:tcW w:w="7881" w:type="dxa"/>
          </w:tcPr>
          <w:p w14:paraId="7BD901BC">
            <w:pPr>
              <w:adjustRightInd w:val="0"/>
              <w:snapToGrid w:val="0"/>
              <w:spacing w:after="0" w:afterLines="0" w:line="240" w:lineRule="auto"/>
              <w:ind w:firstLine="0" w:firstLineChars="0"/>
              <w:rPr>
                <w:sz w:val="26"/>
                <w:szCs w:val="26"/>
              </w:rPr>
            </w:pPr>
            <w:r>
              <w:rPr>
                <w:rFonts w:hint="eastAsia"/>
                <w:sz w:val="26"/>
                <w:szCs w:val="26"/>
              </w:rPr>
              <w:t>主题策略：关于资本账户的若干迷思</w:t>
            </w:r>
          </w:p>
        </w:tc>
      </w:tr>
      <w:tr w14:paraId="4282FF68">
        <w:trPr>
          <w:cantSplit/>
          <w:trHeight w:val="340" w:hRule="atLeast"/>
        </w:trPr>
        <w:tc>
          <w:tcPr>
            <w:tcW w:w="1531" w:type="dxa"/>
          </w:tcPr>
          <w:p w14:paraId="23674AA3">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2.10</w:t>
            </w:r>
          </w:p>
        </w:tc>
        <w:tc>
          <w:tcPr>
            <w:tcW w:w="7881" w:type="dxa"/>
          </w:tcPr>
          <w:p w14:paraId="4CA71FFD">
            <w:pPr>
              <w:adjustRightInd w:val="0"/>
              <w:snapToGrid w:val="0"/>
              <w:spacing w:after="0" w:afterLines="0" w:line="240" w:lineRule="auto"/>
              <w:ind w:firstLine="0" w:firstLineChars="0"/>
              <w:rPr>
                <w:sz w:val="26"/>
                <w:szCs w:val="26"/>
              </w:rPr>
            </w:pPr>
            <w:r>
              <w:rPr>
                <w:rFonts w:hint="eastAsia"/>
                <w:sz w:val="26"/>
                <w:szCs w:val="26"/>
              </w:rPr>
              <w:t>港股策略专题：回调到位了吗？</w:t>
            </w:r>
          </w:p>
        </w:tc>
      </w:tr>
      <w:tr w14:paraId="3D7BD407">
        <w:trPr>
          <w:cantSplit/>
          <w:trHeight w:val="340" w:hRule="atLeast"/>
        </w:trPr>
        <w:tc>
          <w:tcPr>
            <w:tcW w:w="1531" w:type="dxa"/>
          </w:tcPr>
          <w:p w14:paraId="079EA320">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2.11</w:t>
            </w:r>
          </w:p>
        </w:tc>
        <w:tc>
          <w:tcPr>
            <w:tcW w:w="7881" w:type="dxa"/>
          </w:tcPr>
          <w:p w14:paraId="6BE4A431">
            <w:pPr>
              <w:adjustRightInd w:val="0"/>
              <w:snapToGrid w:val="0"/>
              <w:spacing w:after="0" w:afterLines="0" w:line="240" w:lineRule="auto"/>
              <w:ind w:firstLine="0" w:firstLineChars="0"/>
              <w:rPr>
                <w:sz w:val="26"/>
                <w:szCs w:val="26"/>
              </w:rPr>
            </w:pPr>
            <w:r>
              <w:rPr>
                <w:rFonts w:hint="eastAsia"/>
                <w:sz w:val="26"/>
                <w:szCs w:val="26"/>
              </w:rPr>
              <w:t>中国策略简评：MSCI中国调整，新增37只、剔除16只（2026-02）</w:t>
            </w:r>
          </w:p>
        </w:tc>
      </w:tr>
    </w:tbl>
    <w:p w14:paraId="540D79FC">
      <w:pPr>
        <w:spacing w:before="156" w:beforeLines="50" w:after="156"/>
        <w:ind w:firstLine="0" w:firstLineChars="0"/>
        <w:rPr>
          <w:sz w:val="24"/>
          <w:u w:val="single"/>
        </w:rPr>
      </w:pPr>
      <w:r>
        <w:rPr>
          <w:rFonts w:hint="eastAsia" w:ascii="黑体" w:hAnsi="黑体" w:eastAsia="黑体"/>
          <w:b/>
          <w:u w:val="single"/>
        </w:rPr>
        <w:t>固定收益</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7911"/>
      </w:tblGrid>
      <w:tr w14:paraId="1346E9B4">
        <w:trPr>
          <w:cantSplit/>
          <w:trHeight w:val="293" w:hRule="atLeast"/>
        </w:trPr>
        <w:tc>
          <w:tcPr>
            <w:tcW w:w="1501" w:type="dxa"/>
          </w:tcPr>
          <w:p w14:paraId="240D966F">
            <w:pPr>
              <w:adjustRightInd w:val="0"/>
              <w:snapToGrid w:val="0"/>
              <w:spacing w:after="0" w:afterLines="0" w:line="240" w:lineRule="auto"/>
              <w:ind w:firstLine="0" w:firstLineChars="0"/>
              <w:rPr>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9</w:t>
            </w:r>
          </w:p>
        </w:tc>
        <w:tc>
          <w:tcPr>
            <w:tcW w:w="7911" w:type="dxa"/>
          </w:tcPr>
          <w:p w14:paraId="3850EAA7">
            <w:pPr>
              <w:adjustRightInd w:val="0"/>
              <w:snapToGrid w:val="0"/>
              <w:spacing w:after="0" w:afterLines="0" w:line="240" w:lineRule="auto"/>
              <w:ind w:firstLine="0" w:firstLineChars="0"/>
              <w:rPr>
                <w:sz w:val="26"/>
                <w:szCs w:val="26"/>
              </w:rPr>
            </w:pPr>
            <w:r>
              <w:rPr>
                <w:rFonts w:hint="eastAsia"/>
                <w:sz w:val="26"/>
                <w:szCs w:val="26"/>
              </w:rPr>
              <w:t>信用分析周报：中国信用债评级调整周报</w:t>
            </w:r>
          </w:p>
        </w:tc>
      </w:tr>
      <w:tr w14:paraId="1D494B9B">
        <w:trPr>
          <w:cantSplit/>
          <w:trHeight w:val="340" w:hRule="atLeast"/>
        </w:trPr>
        <w:tc>
          <w:tcPr>
            <w:tcW w:w="1501" w:type="dxa"/>
          </w:tcPr>
          <w:p w14:paraId="22805A7C">
            <w:pPr>
              <w:adjustRightInd w:val="0"/>
              <w:snapToGrid w:val="0"/>
              <w:spacing w:after="0" w:afterLines="0" w:line="240" w:lineRule="auto"/>
              <w:ind w:firstLine="0" w:firstLineChars="0"/>
              <w:rPr>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9</w:t>
            </w:r>
          </w:p>
        </w:tc>
        <w:tc>
          <w:tcPr>
            <w:tcW w:w="7911" w:type="dxa"/>
          </w:tcPr>
          <w:p w14:paraId="311C1473">
            <w:pPr>
              <w:adjustRightInd w:val="0"/>
              <w:snapToGrid w:val="0"/>
              <w:spacing w:after="0" w:afterLines="0" w:line="240" w:lineRule="auto"/>
              <w:ind w:firstLine="0" w:firstLineChars="0"/>
              <w:rPr>
                <w:sz w:val="26"/>
                <w:szCs w:val="26"/>
              </w:rPr>
            </w:pPr>
            <w:r>
              <w:rPr>
                <w:rFonts w:hint="eastAsia"/>
                <w:sz w:val="26"/>
                <w:szCs w:val="26"/>
              </w:rPr>
              <w:t>信用债收益率跟踪周报：央行呵护节前资金面，债券收益率小幅下行</w:t>
            </w:r>
          </w:p>
        </w:tc>
      </w:tr>
      <w:tr w14:paraId="131AD5C6">
        <w:trPr>
          <w:cantSplit/>
          <w:trHeight w:val="340" w:hRule="atLeast"/>
        </w:trPr>
        <w:tc>
          <w:tcPr>
            <w:tcW w:w="1501" w:type="dxa"/>
          </w:tcPr>
          <w:p w14:paraId="1FE64C42">
            <w:pPr>
              <w:adjustRightInd w:val="0"/>
              <w:snapToGrid w:val="0"/>
              <w:spacing w:after="0" w:afterLines="0" w:line="240" w:lineRule="auto"/>
              <w:ind w:firstLine="0" w:firstLineChars="0"/>
              <w:rPr>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9</w:t>
            </w:r>
          </w:p>
        </w:tc>
        <w:tc>
          <w:tcPr>
            <w:tcW w:w="7911" w:type="dxa"/>
          </w:tcPr>
          <w:p w14:paraId="6108365F">
            <w:pPr>
              <w:adjustRightInd w:val="0"/>
              <w:snapToGrid w:val="0"/>
              <w:spacing w:after="0" w:afterLines="0" w:line="240" w:lineRule="auto"/>
              <w:ind w:firstLine="0" w:firstLineChars="0"/>
              <w:rPr>
                <w:sz w:val="26"/>
                <w:szCs w:val="26"/>
              </w:rPr>
            </w:pPr>
            <w:r>
              <w:rPr>
                <w:rFonts w:hint="eastAsia"/>
                <w:sz w:val="26"/>
                <w:szCs w:val="26"/>
              </w:rPr>
              <w:t>简评：信用利差低位压缩，后续关注结构性机会——2026年1月行业利差跟踪</w:t>
            </w:r>
          </w:p>
        </w:tc>
      </w:tr>
      <w:tr w14:paraId="2FBACBCB">
        <w:trPr>
          <w:cantSplit/>
          <w:trHeight w:val="340" w:hRule="atLeast"/>
        </w:trPr>
        <w:tc>
          <w:tcPr>
            <w:tcW w:w="1501" w:type="dxa"/>
          </w:tcPr>
          <w:p w14:paraId="0787B8B1">
            <w:pPr>
              <w:adjustRightInd w:val="0"/>
              <w:snapToGrid w:val="0"/>
              <w:spacing w:after="0" w:afterLines="0" w:line="240" w:lineRule="auto"/>
              <w:ind w:firstLine="0" w:firstLineChars="0"/>
              <w:rPr>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11</w:t>
            </w:r>
          </w:p>
        </w:tc>
        <w:tc>
          <w:tcPr>
            <w:tcW w:w="7911" w:type="dxa"/>
          </w:tcPr>
          <w:p w14:paraId="7CC514C5">
            <w:pPr>
              <w:adjustRightInd w:val="0"/>
              <w:snapToGrid w:val="0"/>
              <w:spacing w:after="0" w:afterLines="0" w:line="240" w:lineRule="auto"/>
              <w:ind w:firstLine="0" w:firstLineChars="0"/>
              <w:rPr>
                <w:sz w:val="26"/>
                <w:szCs w:val="26"/>
              </w:rPr>
            </w:pPr>
            <w:r>
              <w:rPr>
                <w:rFonts w:hint="eastAsia"/>
                <w:sz w:val="26"/>
                <w:szCs w:val="26"/>
              </w:rPr>
              <w:t>简评：通胀权重微调，预计春节后通胀会有所回落——1月通胀数据点评</w:t>
            </w:r>
          </w:p>
        </w:tc>
      </w:tr>
      <w:tr w14:paraId="171BF792">
        <w:trPr>
          <w:cantSplit/>
          <w:trHeight w:val="340" w:hRule="atLeast"/>
        </w:trPr>
        <w:tc>
          <w:tcPr>
            <w:tcW w:w="1501" w:type="dxa"/>
          </w:tcPr>
          <w:p w14:paraId="49F9B2C9">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11</w:t>
            </w:r>
          </w:p>
        </w:tc>
        <w:tc>
          <w:tcPr>
            <w:tcW w:w="7911" w:type="dxa"/>
          </w:tcPr>
          <w:p w14:paraId="0B4CA9D5">
            <w:pPr>
              <w:adjustRightInd w:val="0"/>
              <w:snapToGrid w:val="0"/>
              <w:spacing w:after="0" w:afterLines="0" w:line="240" w:lineRule="auto"/>
              <w:ind w:firstLine="0" w:firstLineChars="0"/>
              <w:rPr>
                <w:sz w:val="26"/>
                <w:szCs w:val="26"/>
              </w:rPr>
            </w:pPr>
            <w:r>
              <w:rPr>
                <w:rFonts w:hint="eastAsia"/>
                <w:sz w:val="26"/>
                <w:szCs w:val="26"/>
              </w:rPr>
              <w:t>信用分析周报：中国短期融资券及中期票据信用分析周报</w:t>
            </w:r>
          </w:p>
        </w:tc>
      </w:tr>
      <w:tr w14:paraId="509CF811">
        <w:trPr>
          <w:cantSplit/>
          <w:trHeight w:val="340" w:hRule="atLeast"/>
        </w:trPr>
        <w:tc>
          <w:tcPr>
            <w:tcW w:w="1501" w:type="dxa"/>
          </w:tcPr>
          <w:p w14:paraId="2D777E19">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12</w:t>
            </w:r>
          </w:p>
        </w:tc>
        <w:tc>
          <w:tcPr>
            <w:tcW w:w="7911" w:type="dxa"/>
          </w:tcPr>
          <w:p w14:paraId="5C2D4AD7">
            <w:pPr>
              <w:adjustRightInd w:val="0"/>
              <w:snapToGrid w:val="0"/>
              <w:spacing w:after="0" w:afterLines="0" w:line="240" w:lineRule="auto"/>
              <w:ind w:firstLine="0" w:firstLineChars="0"/>
              <w:rPr>
                <w:sz w:val="26"/>
                <w:szCs w:val="26"/>
              </w:rPr>
            </w:pPr>
            <w:r>
              <w:rPr>
                <w:rFonts w:hint="eastAsia"/>
                <w:sz w:val="26"/>
                <w:szCs w:val="26"/>
              </w:rPr>
              <w:t>中国房地产债券月报：1月房地产债券月报：境内债利差走扩，离岸债发行增长</w:t>
            </w:r>
          </w:p>
        </w:tc>
      </w:tr>
      <w:tr w14:paraId="0B1E52E6">
        <w:trPr>
          <w:cantSplit/>
          <w:trHeight w:val="340" w:hRule="atLeast"/>
        </w:trPr>
        <w:tc>
          <w:tcPr>
            <w:tcW w:w="1501" w:type="dxa"/>
          </w:tcPr>
          <w:p w14:paraId="44C2553B">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12</w:t>
            </w:r>
          </w:p>
        </w:tc>
        <w:tc>
          <w:tcPr>
            <w:tcW w:w="7911" w:type="dxa"/>
          </w:tcPr>
          <w:p w14:paraId="6E4C95DE">
            <w:pPr>
              <w:adjustRightInd w:val="0"/>
              <w:snapToGrid w:val="0"/>
              <w:spacing w:after="0" w:afterLines="0" w:line="240" w:lineRule="auto"/>
              <w:ind w:firstLine="0" w:firstLineChars="0"/>
              <w:rPr>
                <w:sz w:val="26"/>
                <w:szCs w:val="26"/>
              </w:rPr>
            </w:pPr>
            <w:r>
              <w:rPr>
                <w:rFonts w:hint="eastAsia"/>
                <w:sz w:val="26"/>
                <w:szCs w:val="26"/>
              </w:rPr>
              <w:t>专题研究：破“卷”求生：反内卷政策下的供给侧重塑与产业债投资机会</w:t>
            </w:r>
          </w:p>
        </w:tc>
      </w:tr>
    </w:tbl>
    <w:p w14:paraId="27FC5C2C">
      <w:pPr>
        <w:spacing w:before="156" w:beforeLines="50" w:after="156"/>
        <w:ind w:firstLine="0" w:firstLineChars="0"/>
        <w:rPr>
          <w:sz w:val="24"/>
          <w:u w:val="single"/>
        </w:rPr>
      </w:pPr>
      <w:r>
        <w:rPr>
          <w:rFonts w:hint="eastAsia" w:ascii="黑体" w:hAnsi="黑体" w:eastAsia="黑体"/>
          <w:b/>
          <w:u w:val="single"/>
        </w:rPr>
        <w:t>行业</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7911"/>
      </w:tblGrid>
      <w:tr w14:paraId="28491CFB">
        <w:trPr>
          <w:cantSplit/>
          <w:trHeight w:val="340" w:hRule="atLeast"/>
        </w:trPr>
        <w:tc>
          <w:tcPr>
            <w:tcW w:w="1501" w:type="dxa"/>
          </w:tcPr>
          <w:p w14:paraId="5485335C">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9</w:t>
            </w:r>
          </w:p>
        </w:tc>
        <w:tc>
          <w:tcPr>
            <w:tcW w:w="7911" w:type="dxa"/>
            <w:vAlign w:val="center"/>
          </w:tcPr>
          <w:p w14:paraId="15102ADD">
            <w:pPr>
              <w:adjustRightInd w:val="0"/>
              <w:snapToGrid w:val="0"/>
              <w:spacing w:after="0" w:afterLines="0" w:line="240" w:lineRule="auto"/>
              <w:ind w:firstLine="0" w:firstLineChars="0"/>
              <w:rPr>
                <w:sz w:val="26"/>
                <w:szCs w:val="26"/>
              </w:rPr>
            </w:pPr>
            <w:r>
              <w:rPr>
                <w:sz w:val="26"/>
                <w:szCs w:val="26"/>
              </w:rPr>
              <w:t>通信设备：算力互联政策叠加万卡集群落地，关注国产算力链投资机遇</w:t>
            </w:r>
          </w:p>
        </w:tc>
      </w:tr>
      <w:tr w14:paraId="3A6E7F5A">
        <w:trPr>
          <w:cantSplit/>
          <w:trHeight w:val="340" w:hRule="atLeast"/>
        </w:trPr>
        <w:tc>
          <w:tcPr>
            <w:tcW w:w="1501" w:type="dxa"/>
          </w:tcPr>
          <w:p w14:paraId="17E9819B">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9</w:t>
            </w:r>
          </w:p>
        </w:tc>
        <w:tc>
          <w:tcPr>
            <w:tcW w:w="7911" w:type="dxa"/>
            <w:vAlign w:val="center"/>
          </w:tcPr>
          <w:p w14:paraId="741DE887">
            <w:pPr>
              <w:adjustRightInd w:val="0"/>
              <w:snapToGrid w:val="0"/>
              <w:spacing w:after="0" w:afterLines="0" w:line="240" w:lineRule="auto"/>
              <w:ind w:firstLine="0" w:firstLineChars="0"/>
              <w:rPr>
                <w:sz w:val="26"/>
                <w:szCs w:val="26"/>
              </w:rPr>
            </w:pPr>
            <w:r>
              <w:rPr>
                <w:sz w:val="26"/>
                <w:szCs w:val="26"/>
              </w:rPr>
              <w:t>电力电气设备：电新双周报：全球储能景气度持续上升，看好锂电春季行情</w:t>
            </w:r>
          </w:p>
        </w:tc>
      </w:tr>
      <w:tr w14:paraId="3492232E">
        <w:trPr>
          <w:cantSplit/>
          <w:trHeight w:val="340" w:hRule="atLeast"/>
        </w:trPr>
        <w:tc>
          <w:tcPr>
            <w:tcW w:w="1501" w:type="dxa"/>
          </w:tcPr>
          <w:p w14:paraId="3C18605C">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9</w:t>
            </w:r>
          </w:p>
        </w:tc>
        <w:tc>
          <w:tcPr>
            <w:tcW w:w="7911" w:type="dxa"/>
            <w:vAlign w:val="center"/>
          </w:tcPr>
          <w:p w14:paraId="0E3579E6">
            <w:pPr>
              <w:adjustRightInd w:val="0"/>
              <w:snapToGrid w:val="0"/>
              <w:spacing w:after="0" w:afterLines="0" w:line="240" w:lineRule="auto"/>
              <w:ind w:firstLine="0" w:firstLineChars="0"/>
              <w:rPr>
                <w:sz w:val="26"/>
                <w:szCs w:val="26"/>
              </w:rPr>
            </w:pPr>
            <w:r>
              <w:rPr>
                <w:sz w:val="26"/>
                <w:szCs w:val="26"/>
              </w:rPr>
              <w:t>建筑与工程：春季躁动来临，建筑龙头有望迎来估值修复</w:t>
            </w:r>
          </w:p>
        </w:tc>
      </w:tr>
      <w:tr w14:paraId="572B4446">
        <w:trPr>
          <w:cantSplit/>
          <w:trHeight w:val="340" w:hRule="atLeast"/>
        </w:trPr>
        <w:tc>
          <w:tcPr>
            <w:tcW w:w="1501" w:type="dxa"/>
          </w:tcPr>
          <w:p w14:paraId="655C5F25">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23BAFA91">
            <w:pPr>
              <w:adjustRightInd w:val="0"/>
              <w:snapToGrid w:val="0"/>
              <w:spacing w:after="0" w:afterLines="0" w:line="240" w:lineRule="auto"/>
              <w:ind w:firstLine="0" w:firstLineChars="0"/>
              <w:rPr>
                <w:sz w:val="26"/>
                <w:szCs w:val="26"/>
              </w:rPr>
            </w:pPr>
            <w:r>
              <w:rPr>
                <w:sz w:val="26"/>
                <w:szCs w:val="26"/>
              </w:rPr>
              <w:t>有色金属：氧化铝：亏损面加大，价格有望否极泰来</w:t>
            </w:r>
          </w:p>
        </w:tc>
      </w:tr>
      <w:tr w14:paraId="3DAE2F84">
        <w:trPr>
          <w:cantSplit/>
          <w:trHeight w:val="340" w:hRule="atLeast"/>
        </w:trPr>
        <w:tc>
          <w:tcPr>
            <w:tcW w:w="1501" w:type="dxa"/>
          </w:tcPr>
          <w:p w14:paraId="31E702BA">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0660767C">
            <w:pPr>
              <w:adjustRightInd w:val="0"/>
              <w:snapToGrid w:val="0"/>
              <w:spacing w:after="0" w:afterLines="0" w:line="240" w:lineRule="auto"/>
              <w:ind w:firstLine="0" w:firstLineChars="0"/>
              <w:rPr>
                <w:sz w:val="26"/>
                <w:szCs w:val="26"/>
              </w:rPr>
            </w:pPr>
            <w:r>
              <w:rPr>
                <w:sz w:val="26"/>
                <w:szCs w:val="26"/>
              </w:rPr>
              <w:t>不动产与空间服务：周评#477：对齐春节后二手房销售同比降一成</w:t>
            </w:r>
          </w:p>
        </w:tc>
      </w:tr>
      <w:tr w14:paraId="2CE4448D">
        <w:trPr>
          <w:cantSplit/>
          <w:trHeight w:val="340" w:hRule="atLeast"/>
        </w:trPr>
        <w:tc>
          <w:tcPr>
            <w:tcW w:w="1501" w:type="dxa"/>
          </w:tcPr>
          <w:p w14:paraId="5E61A4D5">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62FD5CF6">
            <w:pPr>
              <w:adjustRightInd w:val="0"/>
              <w:snapToGrid w:val="0"/>
              <w:spacing w:after="0" w:afterLines="0" w:line="240" w:lineRule="auto"/>
              <w:ind w:firstLine="0" w:firstLineChars="0"/>
              <w:rPr>
                <w:sz w:val="26"/>
                <w:szCs w:val="26"/>
              </w:rPr>
            </w:pPr>
            <w:r>
              <w:rPr>
                <w:sz w:val="26"/>
                <w:szCs w:val="26"/>
              </w:rPr>
              <w:t>银行：信贷“开门红”成色几何？——1月金融数据前瞻</w:t>
            </w:r>
          </w:p>
        </w:tc>
      </w:tr>
      <w:tr w14:paraId="2E79BDDE">
        <w:trPr>
          <w:cantSplit/>
          <w:trHeight w:val="340" w:hRule="atLeast"/>
        </w:trPr>
        <w:tc>
          <w:tcPr>
            <w:tcW w:w="1501" w:type="dxa"/>
          </w:tcPr>
          <w:p w14:paraId="4C26A060">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00E363D6">
            <w:pPr>
              <w:adjustRightInd w:val="0"/>
              <w:snapToGrid w:val="0"/>
              <w:spacing w:after="0" w:afterLines="0" w:line="240" w:lineRule="auto"/>
              <w:ind w:firstLine="0" w:firstLineChars="0"/>
              <w:rPr>
                <w:sz w:val="26"/>
                <w:szCs w:val="26"/>
              </w:rPr>
            </w:pPr>
            <w:r>
              <w:rPr>
                <w:sz w:val="26"/>
                <w:szCs w:val="26"/>
              </w:rPr>
              <w:t>旅游酒店及餐饮：看好最长春节休闲需求释放，优质头部继续受益</w:t>
            </w:r>
          </w:p>
        </w:tc>
      </w:tr>
      <w:tr w14:paraId="6609C94D">
        <w:trPr>
          <w:cantSplit/>
          <w:trHeight w:val="340" w:hRule="atLeast"/>
        </w:trPr>
        <w:tc>
          <w:tcPr>
            <w:tcW w:w="1501" w:type="dxa"/>
          </w:tcPr>
          <w:p w14:paraId="0F75BF2D">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3333D1F1">
            <w:pPr>
              <w:adjustRightInd w:val="0"/>
              <w:snapToGrid w:val="0"/>
              <w:spacing w:after="0" w:afterLines="0" w:line="240" w:lineRule="auto"/>
              <w:ind w:firstLine="0" w:firstLineChars="0"/>
              <w:rPr>
                <w:sz w:val="26"/>
                <w:szCs w:val="26"/>
              </w:rPr>
            </w:pPr>
            <w:r>
              <w:rPr>
                <w:sz w:val="26"/>
                <w:szCs w:val="26"/>
              </w:rPr>
              <w:t>主题研究：光储周谈｜太空光伏板块持续波动，储能需观察更多基本面信号（26年第6周）</w:t>
            </w:r>
          </w:p>
        </w:tc>
      </w:tr>
      <w:tr w14:paraId="14F70031">
        <w:trPr>
          <w:cantSplit/>
          <w:trHeight w:val="340" w:hRule="atLeast"/>
        </w:trPr>
        <w:tc>
          <w:tcPr>
            <w:tcW w:w="1501" w:type="dxa"/>
          </w:tcPr>
          <w:p w14:paraId="207C80C1">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63642BF3">
            <w:pPr>
              <w:adjustRightInd w:val="0"/>
              <w:snapToGrid w:val="0"/>
              <w:spacing w:after="0" w:afterLines="0" w:line="240" w:lineRule="auto"/>
              <w:ind w:firstLine="0" w:firstLineChars="0"/>
              <w:rPr>
                <w:sz w:val="26"/>
                <w:szCs w:val="26"/>
              </w:rPr>
            </w:pPr>
            <w:r>
              <w:rPr>
                <w:sz w:val="26"/>
                <w:szCs w:val="26"/>
              </w:rPr>
              <w:t>房地产：1月二手房量、价走势趋稳</w:t>
            </w:r>
          </w:p>
        </w:tc>
      </w:tr>
      <w:tr w14:paraId="39D2A9DC">
        <w:trPr>
          <w:cantSplit/>
          <w:trHeight w:val="340" w:hRule="atLeast"/>
        </w:trPr>
        <w:tc>
          <w:tcPr>
            <w:tcW w:w="1501" w:type="dxa"/>
          </w:tcPr>
          <w:p w14:paraId="62CF1564">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3D748302">
            <w:pPr>
              <w:adjustRightInd w:val="0"/>
              <w:snapToGrid w:val="0"/>
              <w:spacing w:after="0" w:afterLines="0" w:line="240" w:lineRule="auto"/>
              <w:ind w:firstLine="0" w:firstLineChars="0"/>
              <w:rPr>
                <w:sz w:val="26"/>
                <w:szCs w:val="26"/>
              </w:rPr>
            </w:pPr>
            <w:r>
              <w:rPr>
                <w:sz w:val="26"/>
                <w:szCs w:val="26"/>
              </w:rPr>
              <w:t>不动产与空间服务：地产股怎么选？空间怎么看？</w:t>
            </w:r>
          </w:p>
        </w:tc>
      </w:tr>
      <w:tr w14:paraId="4280D21B">
        <w:trPr>
          <w:cantSplit/>
          <w:trHeight w:val="340" w:hRule="atLeast"/>
        </w:trPr>
        <w:tc>
          <w:tcPr>
            <w:tcW w:w="1501" w:type="dxa"/>
          </w:tcPr>
          <w:p w14:paraId="61CB375C">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4C17A77A">
            <w:pPr>
              <w:adjustRightInd w:val="0"/>
              <w:snapToGrid w:val="0"/>
              <w:spacing w:after="0" w:afterLines="0" w:line="240" w:lineRule="auto"/>
              <w:ind w:firstLine="0" w:firstLineChars="0"/>
              <w:rPr>
                <w:sz w:val="26"/>
                <w:szCs w:val="26"/>
              </w:rPr>
            </w:pPr>
            <w:r>
              <w:rPr>
                <w:sz w:val="26"/>
                <w:szCs w:val="26"/>
              </w:rPr>
              <w:t>房地产：助力房地产风险化解的AMC作用初探</w:t>
            </w:r>
          </w:p>
        </w:tc>
      </w:tr>
      <w:tr w14:paraId="2170F2C9">
        <w:trPr>
          <w:cantSplit/>
          <w:trHeight w:val="340" w:hRule="atLeast"/>
        </w:trPr>
        <w:tc>
          <w:tcPr>
            <w:tcW w:w="1501" w:type="dxa"/>
          </w:tcPr>
          <w:p w14:paraId="63092707">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11</w:t>
            </w:r>
          </w:p>
        </w:tc>
        <w:tc>
          <w:tcPr>
            <w:tcW w:w="7911" w:type="dxa"/>
            <w:vAlign w:val="center"/>
          </w:tcPr>
          <w:p w14:paraId="712B33D9">
            <w:pPr>
              <w:adjustRightInd w:val="0"/>
              <w:snapToGrid w:val="0"/>
              <w:spacing w:after="0" w:afterLines="0" w:line="240" w:lineRule="auto"/>
              <w:ind w:firstLine="0" w:firstLineChars="0"/>
              <w:rPr>
                <w:sz w:val="26"/>
                <w:szCs w:val="26"/>
              </w:rPr>
            </w:pPr>
            <w:r>
              <w:rPr>
                <w:sz w:val="26"/>
                <w:szCs w:val="26"/>
              </w:rPr>
              <w:t>软件及服务：人工智能十年展望（二十七）：越过“遗忘”的边界，模型记忆的三层架构与产业机遇</w:t>
            </w:r>
          </w:p>
        </w:tc>
      </w:tr>
      <w:tr w14:paraId="2B4BBF3A">
        <w:trPr>
          <w:cantSplit/>
          <w:trHeight w:val="340" w:hRule="atLeast"/>
        </w:trPr>
        <w:tc>
          <w:tcPr>
            <w:tcW w:w="1501" w:type="dxa"/>
          </w:tcPr>
          <w:p w14:paraId="051ED2AE">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12</w:t>
            </w:r>
          </w:p>
        </w:tc>
        <w:tc>
          <w:tcPr>
            <w:tcW w:w="7911" w:type="dxa"/>
            <w:vAlign w:val="center"/>
          </w:tcPr>
          <w:p w14:paraId="0A84FF88">
            <w:pPr>
              <w:adjustRightInd w:val="0"/>
              <w:snapToGrid w:val="0"/>
              <w:spacing w:after="0" w:afterLines="0" w:line="240" w:lineRule="auto"/>
              <w:ind w:firstLine="0" w:firstLineChars="0"/>
              <w:rPr>
                <w:sz w:val="26"/>
                <w:szCs w:val="26"/>
              </w:rPr>
            </w:pPr>
            <w:r>
              <w:rPr>
                <w:sz w:val="26"/>
                <w:szCs w:val="26"/>
              </w:rPr>
              <w:t>建材：电子布供给再释放积极信号，看好后续提价</w:t>
            </w:r>
          </w:p>
        </w:tc>
      </w:tr>
      <w:tr w14:paraId="40CD16E3">
        <w:trPr>
          <w:cantSplit/>
          <w:trHeight w:val="340" w:hRule="atLeast"/>
        </w:trPr>
        <w:tc>
          <w:tcPr>
            <w:tcW w:w="1501" w:type="dxa"/>
          </w:tcPr>
          <w:p w14:paraId="13F3DE1A">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12</w:t>
            </w:r>
          </w:p>
        </w:tc>
        <w:tc>
          <w:tcPr>
            <w:tcW w:w="7911" w:type="dxa"/>
            <w:vAlign w:val="center"/>
          </w:tcPr>
          <w:p w14:paraId="0D9C509C">
            <w:pPr>
              <w:adjustRightInd w:val="0"/>
              <w:snapToGrid w:val="0"/>
              <w:spacing w:after="0" w:afterLines="0" w:line="240" w:lineRule="auto"/>
              <w:ind w:firstLine="0" w:firstLineChars="0"/>
              <w:rPr>
                <w:sz w:val="26"/>
                <w:szCs w:val="26"/>
              </w:rPr>
            </w:pPr>
            <w:r>
              <w:rPr>
                <w:sz w:val="26"/>
                <w:szCs w:val="26"/>
              </w:rPr>
              <w:t>不动产与空间服务：香港地产月报（2026.1）：“淡季不淡”，房价加速回升；核心商写空置率环比下行</w:t>
            </w:r>
          </w:p>
        </w:tc>
      </w:tr>
      <w:tr w14:paraId="02A90A5B">
        <w:trPr>
          <w:cantSplit/>
          <w:trHeight w:val="340" w:hRule="atLeast"/>
        </w:trPr>
        <w:tc>
          <w:tcPr>
            <w:tcW w:w="1501" w:type="dxa"/>
          </w:tcPr>
          <w:p w14:paraId="3AAA7CBC">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12</w:t>
            </w:r>
          </w:p>
        </w:tc>
        <w:tc>
          <w:tcPr>
            <w:tcW w:w="7911" w:type="dxa"/>
            <w:vAlign w:val="center"/>
          </w:tcPr>
          <w:p w14:paraId="39801B6D">
            <w:pPr>
              <w:adjustRightInd w:val="0"/>
              <w:snapToGrid w:val="0"/>
              <w:spacing w:after="0" w:afterLines="0" w:line="240" w:lineRule="auto"/>
              <w:ind w:firstLine="0" w:firstLineChars="0"/>
              <w:rPr>
                <w:sz w:val="26"/>
                <w:szCs w:val="26"/>
              </w:rPr>
            </w:pPr>
            <w:r>
              <w:rPr>
                <w:sz w:val="26"/>
                <w:szCs w:val="26"/>
              </w:rPr>
              <w:t>机械：海外高空作业平台季度跟踪（4Q25）：景气持续修复</w:t>
            </w:r>
          </w:p>
        </w:tc>
      </w:tr>
      <w:tr w14:paraId="2965E53A">
        <w:trPr>
          <w:cantSplit/>
          <w:trHeight w:val="340" w:hRule="atLeast"/>
        </w:trPr>
        <w:tc>
          <w:tcPr>
            <w:tcW w:w="1501" w:type="dxa"/>
          </w:tcPr>
          <w:p w14:paraId="786633EB">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12</w:t>
            </w:r>
          </w:p>
        </w:tc>
        <w:tc>
          <w:tcPr>
            <w:tcW w:w="7911" w:type="dxa"/>
            <w:vAlign w:val="center"/>
          </w:tcPr>
          <w:p w14:paraId="03E2A879">
            <w:pPr>
              <w:adjustRightInd w:val="0"/>
              <w:snapToGrid w:val="0"/>
              <w:spacing w:after="0" w:afterLines="0" w:line="240" w:lineRule="auto"/>
              <w:ind w:firstLine="0" w:firstLineChars="0"/>
              <w:rPr>
                <w:sz w:val="26"/>
                <w:szCs w:val="26"/>
              </w:rPr>
            </w:pPr>
            <w:r>
              <w:rPr>
                <w:sz w:val="26"/>
                <w:szCs w:val="26"/>
              </w:rPr>
              <w:t>家电及相关：从海外公司财报看家电外销</w:t>
            </w:r>
          </w:p>
        </w:tc>
      </w:tr>
      <w:tr w14:paraId="1944A70A">
        <w:trPr>
          <w:cantSplit/>
          <w:trHeight w:val="340" w:hRule="atLeast"/>
        </w:trPr>
        <w:tc>
          <w:tcPr>
            <w:tcW w:w="1501" w:type="dxa"/>
          </w:tcPr>
          <w:p w14:paraId="47A6DBDB">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13</w:t>
            </w:r>
          </w:p>
        </w:tc>
        <w:tc>
          <w:tcPr>
            <w:tcW w:w="7911" w:type="dxa"/>
            <w:vAlign w:val="center"/>
          </w:tcPr>
          <w:p w14:paraId="674D3DB1">
            <w:pPr>
              <w:adjustRightInd w:val="0"/>
              <w:snapToGrid w:val="0"/>
              <w:spacing w:after="0" w:afterLines="0" w:line="240" w:lineRule="auto"/>
              <w:ind w:firstLine="0" w:firstLineChars="0"/>
              <w:rPr>
                <w:sz w:val="26"/>
                <w:szCs w:val="26"/>
              </w:rPr>
            </w:pPr>
            <w:r>
              <w:rPr>
                <w:sz w:val="26"/>
                <w:szCs w:val="26"/>
              </w:rPr>
              <w:t>汽车及零部件：乘用车整车股跌完了吗？</w:t>
            </w:r>
          </w:p>
        </w:tc>
      </w:tr>
      <w:permEnd w:id="0"/>
    </w:tbl>
    <w:p w14:paraId="6C6EE16D">
      <w:pPr>
        <w:tabs>
          <w:tab w:val="left" w:pos="1560"/>
        </w:tabs>
        <w:spacing w:after="156"/>
        <w:ind w:firstLine="0" w:firstLineChars="0"/>
      </w:pPr>
    </w:p>
    <w:sectPr>
      <w:headerReference r:id="rId11" w:type="default"/>
      <w:footerReference r:id="rId12" w:type="default"/>
      <w:pgSz w:w="11906" w:h="16838"/>
      <w:pgMar w:top="1814" w:right="1247" w:bottom="1247" w:left="1247" w:header="851"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华文中宋">
    <w:altName w:val="汉仪书宋二KW"/>
    <w:panose1 w:val="02010600040101010101"/>
    <w:charset w:val="86"/>
    <w:family w:val="auto"/>
    <w:pitch w:val="default"/>
    <w:sig w:usb0="00000000" w:usb1="00000000" w:usb2="00000010" w:usb3="00000000" w:csb0="0004009F" w:csb1="00000000"/>
  </w:font>
  <w:font w:name="方正中雅宋简体">
    <w:altName w:val="汉仪书宋二KW"/>
    <w:panose1 w:val="00000000000000000000"/>
    <w:charset w:val="86"/>
    <w:family w:val="auto"/>
    <w:pitch w:val="default"/>
    <w:sig w:usb0="00000000" w:usb1="00000000" w:usb2="00000010" w:usb3="00000000" w:csb0="00040000" w:csb1="00000000"/>
  </w:font>
  <w:font w:name="方正博雅刊宋简体">
    <w:altName w:val="汉仪书宋二KW"/>
    <w:panose1 w:val="00000000000000000000"/>
    <w:charset w:val="86"/>
    <w:family w:val="auto"/>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8006B">
    <w:pPr>
      <w:pStyle w:val="7"/>
      <w:spacing w:after="120"/>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8AAD2">
    <w:pPr>
      <w:pStyle w:val="7"/>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97652">
    <w:pPr>
      <w:pStyle w:val="7"/>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5A9AA">
    <w:pPr>
      <w:pStyle w:val="7"/>
      <w:spacing w:after="120"/>
      <w:ind w:firstLine="360"/>
      <w:jc w:val="center"/>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pPr>
        <w:spacing w:before="0" w:after="0" w:line="240" w:lineRule="auto"/>
        <w:ind w:firstLine="560"/>
      </w:pPr>
      <w:r>
        <w:separator/>
      </w:r>
    </w:p>
  </w:footnote>
  <w:footnote w:type="continuationSeparator" w:id="19">
    <w:p>
      <w:pPr>
        <w:spacing w:before="0" w:after="0" w:line="240" w:lineRule="auto"/>
        <w:ind w:firstLine="560"/>
      </w:pPr>
      <w:r>
        <w:continuationSeparator/>
      </w:r>
    </w:p>
  </w:footnote>
  <w:footnote w:id="0">
    <w:p w14:paraId="0FC102F2">
      <w:pPr>
        <w:pStyle w:val="11"/>
        <w:ind w:firstLine="360"/>
      </w:pPr>
      <w:r>
        <w:rPr>
          <w:rStyle w:val="22"/>
        </w:rPr>
        <w:footnoteRef/>
      </w:r>
      <w:r>
        <w:t xml:space="preserve"> https://www.gov.cn/zhengce/202510/content_7046050.htm</w:t>
      </w:r>
    </w:p>
  </w:footnote>
  <w:footnote w:id="1">
    <w:p w14:paraId="6469E7D3">
      <w:pPr>
        <w:pStyle w:val="11"/>
      </w:pPr>
      <w:r>
        <w:rPr>
          <w:rStyle w:val="22"/>
        </w:rPr>
        <w:footnoteRef/>
      </w:r>
      <w:r>
        <w:t xml:space="preserve"> https://www.wsj.com/business/earnings/ups-posts-higher-profit-issues-upbeat-outlook-091c2655</w:t>
      </w:r>
    </w:p>
  </w:footnote>
  <w:footnote w:id="2">
    <w:p w14:paraId="4DEF7181">
      <w:pPr>
        <w:pStyle w:val="11"/>
      </w:pPr>
      <w:r>
        <w:rPr>
          <w:rStyle w:val="22"/>
        </w:rPr>
        <w:footnoteRef/>
      </w:r>
      <w:r>
        <w:t xml:space="preserve"> https://www.wsj.com/tech/amazon-to-lay-off-around-16-000-corporate-employees-932df0be</w:t>
      </w:r>
    </w:p>
  </w:footnote>
  <w:footnote w:id="3">
    <w:p w14:paraId="75E23242">
      <w:pPr>
        <w:pStyle w:val="11"/>
      </w:pPr>
      <w:r>
        <w:rPr>
          <w:rStyle w:val="22"/>
        </w:rPr>
        <w:footnoteRef/>
      </w:r>
      <w:r>
        <w:t xml:space="preserve"> https://www.cnbc.com/2026/01/27/dario-amodei-warns-ai-cause-unusually-painful-disruption-jobs.html</w:t>
      </w:r>
    </w:p>
  </w:footnote>
  <w:footnote w:id="4">
    <w:p w14:paraId="01AF0A5D">
      <w:pPr>
        <w:pStyle w:val="11"/>
      </w:pPr>
      <w:r>
        <w:rPr>
          <w:rStyle w:val="22"/>
        </w:rPr>
        <w:footnoteRef/>
      </w:r>
      <w:r>
        <w:t xml:space="preserve"> https://finance.yahoo.com/news/2-new-voting-fed-members-make-case-for-holding-interest-rates-steady-174744489.html</w:t>
      </w:r>
    </w:p>
  </w:footnote>
  <w:footnote w:id="5">
    <w:p w14:paraId="332D32FB">
      <w:pPr>
        <w:pStyle w:val="11"/>
      </w:pPr>
      <w:r>
        <w:rPr>
          <w:rStyle w:val="22"/>
        </w:rPr>
        <w:footnoteRef/>
      </w:r>
      <w:r>
        <w:t xml:space="preserve"> https://finance.yahoo.com/news/2-new-voting-fed-members-make-case-for-holding-interest-rates-steady-174744489.html</w:t>
      </w:r>
    </w:p>
  </w:footnote>
  <w:footnote w:id="6">
    <w:p w14:paraId="728D5DCE">
      <w:pPr>
        <w:pStyle w:val="11"/>
      </w:pPr>
      <w:r>
        <w:rPr>
          <w:rStyle w:val="22"/>
        </w:rPr>
        <w:footnoteRef/>
      </w:r>
      <w:r>
        <w:t xml:space="preserve"> https://www.research.cicc.com/zh_CN/report?id=384164&amp;entrance_source=ReportList</w:t>
      </w:r>
    </w:p>
  </w:footnote>
  <w:footnote w:id="7">
    <w:p w14:paraId="76E30B74">
      <w:pPr>
        <w:pStyle w:val="11"/>
      </w:pPr>
      <w:r>
        <w:rPr>
          <w:rStyle w:val="22"/>
        </w:rPr>
        <w:footnoteRef/>
      </w:r>
      <w:r>
        <w:t xml:space="preserve"> https://www.research.cicc.com/zh_CN/report?id=384047&amp;entrance_source=ReportList</w:t>
      </w:r>
    </w:p>
  </w:footnote>
  <w:footnote w:id="8">
    <w:p w14:paraId="1B78AC0B">
      <w:pPr>
        <w:pStyle w:val="11"/>
      </w:pPr>
      <w:r>
        <w:rPr>
          <w:rStyle w:val="22"/>
        </w:rPr>
        <w:footnoteRef/>
      </w:r>
      <w:r>
        <w:t xml:space="preserve"> https://www2.hkexnews.hk/New-Listings/Progress-Report-for-New-Listing-Applications/Main-Board?sc_lang=zh-HK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47672">
    <w:pPr>
      <w:pStyle w:val="8"/>
      <w:pBdr>
        <w:bottom w:val="none" w:color="auto" w:sz="0" w:space="0"/>
      </w:pBdr>
      <w:spacing w:after="120"/>
      <w:ind w:firstLine="360"/>
    </w:pPr>
    <w:r>
      <mc:AlternateContent>
        <mc:Choice Requires="wpg">
          <w:drawing>
            <wp:anchor distT="0" distB="0" distL="114300" distR="114300" simplePos="0" relativeHeight="251660288" behindDoc="0" locked="0" layoutInCell="1" allowOverlap="1">
              <wp:simplePos x="0" y="0"/>
              <wp:positionH relativeFrom="column">
                <wp:posOffset>-648335</wp:posOffset>
              </wp:positionH>
              <wp:positionV relativeFrom="paragraph">
                <wp:posOffset>-540385</wp:posOffset>
              </wp:positionV>
              <wp:extent cx="7559675" cy="2458720"/>
              <wp:effectExtent l="0" t="0" r="0" b="0"/>
              <wp:wrapNone/>
              <wp:docPr id="3" name="组合 3"/>
              <wp:cNvGraphicFramePr/>
              <a:graphic xmlns:a="http://schemas.openxmlformats.org/drawingml/2006/main">
                <a:graphicData uri="http://schemas.microsoft.com/office/word/2010/wordprocessingGroup">
                  <wpg:wgp>
                    <wpg:cNvGrpSpPr/>
                    <wpg:grpSpPr>
                      <a:xfrm>
                        <a:off x="0" y="0"/>
                        <a:ext cx="7559675" cy="2458720"/>
                        <a:chOff x="0" y="0"/>
                        <a:chExt cx="7559675" cy="2458720"/>
                      </a:xfrm>
                    </wpg:grpSpPr>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7559675" cy="2458720"/>
                        </a:xfrm>
                        <a:prstGeom prst="rect">
                          <a:avLst/>
                        </a:prstGeom>
                        <a:noFill/>
                        <a:ln>
                          <a:noFill/>
                        </a:ln>
                      </pic:spPr>
                    </pic:pic>
                    <wps:wsp>
                      <wps:cNvPr id="217" name="文本框 2"/>
                      <wps:cNvSpPr txBox="1">
                        <a:spLocks noChangeArrowheads="1"/>
                      </wps:cNvSpPr>
                      <wps:spPr bwMode="auto">
                        <a:xfrm>
                          <a:off x="2438400" y="1479550"/>
                          <a:ext cx="3143250" cy="742950"/>
                        </a:xfrm>
                        <a:prstGeom prst="rect">
                          <a:avLst/>
                        </a:prstGeom>
                        <a:solidFill>
                          <a:srgbClr val="FFFFFF"/>
                        </a:solidFill>
                        <a:ln w="9525">
                          <a:noFill/>
                          <a:miter lim="800000"/>
                        </a:ln>
                      </wps:spPr>
                      <wps:txbx>
                        <w:txbxContent>
                          <w:p w14:paraId="06F1535E">
                            <w:pPr>
                              <w:spacing w:after="120" w:line="960" w:lineRule="exact"/>
                              <w:ind w:firstLine="0" w:firstLineChars="0"/>
                              <w:jc w:val="left"/>
                              <w:rPr>
                                <w:rFonts w:hint="eastAsia" w:ascii="华文中宋" w:hAnsi="华文中宋" w:eastAsia="华文中宋"/>
                                <w:b/>
                                <w:sz w:val="96"/>
                                <w:szCs w:val="96"/>
                              </w:rPr>
                            </w:pPr>
                            <w:r>
                              <w:rPr>
                                <w:rFonts w:hint="eastAsia" w:ascii="华文中宋" w:hAnsi="华文中宋" w:eastAsia="华文中宋"/>
                                <w:b/>
                                <w:sz w:val="96"/>
                                <w:szCs w:val="96"/>
                              </w:rPr>
                              <w:t>研报精选</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51.05pt;margin-top:-42.55pt;height:193.6pt;width:595.25pt;z-index:251660288;mso-width-relative:page;mso-height-relative:page;" coordsize="7559675,2458720" o:gfxdata="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KelaD8CR0sWaAwAA&#10;AACAaRuNN5i6ldYDcHScPX3ywiCDi63nAAAAAACAZdaNvj5ee7/5sPUcHA3CRmZm0A2udOlutJ4D&#10;AAAAAACWW3czibCRmRA2MjPdKBujbvSk9RwAAAAAALDURllvPQIAAAAAAAAAAAAAAAAAAAAAAAAA&#10;AAAAAAAAAAAAAAAAAAAAAAAAAAAAAAAAAAAAAAAAAAAAAAAAAAAAAAAAAAAAAAAAAAAAAAAAAAAA&#10;AAAAAAAAAAAAAAAAAAAAwFz6BgG96Vc53NWeAAAAAElFTkSuQmCCAQA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">
              <o:lock v:ext="edit" aspectratio="f"/>
              <v:shape id="_x0000_s1026" o:spid="_x0000_s1026" o:spt="75" type="#_x0000_t75" style="position:absolute;left:0;top:0;height:2458720;width:7559675;" filled="f" o:preferrelative="t" stroked="f" coordsize="21600,21600" o:gfxdata="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Gf6mvQAA&#10;ANoAAAAPAAAAAAAAAAEAIAAAACIAAABkcnMvZG93bnJldi54bWxQSwECFAAUAAAACACHTuJAMy8F&#10;njsAAAA5AAAAEAAAAAAAAAABACAAAAAMAQAAZHJzL3NoYXBleG1sLnhtbFBLBQYAAAAABgAGAFsB&#10;AAC2AwAAAAA=&#10;">
                <v:fill on="f" focussize="0,0"/>
                <v:stroke on="f"/>
                <v:imagedata r:id="rId1" o:title=""/>
                <o:lock v:ext="edit" aspectratio="t"/>
              </v:shape>
              <v:shape id="文本框 2" o:spid="_x0000_s1026" o:spt="202" type="#_x0000_t202" style="position:absolute;left:2438400;top:1479550;height:742950;width:3143250;" fillcolor="#FFFFFF" filled="t" stroked="f" coordsize="21600,21600" o:gfxdata="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XJ0m8AAAA&#10;3A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w:txbxContent>
                    <w:p w14:paraId="06F1535E">
                      <w:pPr>
                        <w:spacing w:after="120" w:line="960" w:lineRule="exact"/>
                        <w:ind w:firstLine="0" w:firstLineChars="0"/>
                        <w:jc w:val="left"/>
                        <w:rPr>
                          <w:rFonts w:hint="eastAsia" w:ascii="华文中宋" w:hAnsi="华文中宋" w:eastAsia="华文中宋"/>
                          <w:b/>
                          <w:sz w:val="96"/>
                          <w:szCs w:val="96"/>
                        </w:rPr>
                      </w:pPr>
                      <w:r>
                        <w:rPr>
                          <w:rFonts w:hint="eastAsia" w:ascii="华文中宋" w:hAnsi="华文中宋" w:eastAsia="华文中宋"/>
                          <w:b/>
                          <w:sz w:val="96"/>
                          <w:szCs w:val="96"/>
                        </w:rPr>
                        <w:t>研报精选</w:t>
                      </w:r>
                    </w:p>
                  </w:txbxContent>
                </v:textbox>
              </v:shape>
            </v:group>
          </w:pict>
        </mc:Fallback>
      </mc:AlternateContent>
    </w:r>
  </w:p>
  <w:p w14:paraId="31D0BE1E">
    <w:pPr>
      <w:pStyle w:val="8"/>
      <w:pBdr>
        <w:bottom w:val="none" w:color="auto" w:sz="0" w:space="0"/>
      </w:pBdr>
      <w:spacing w:after="120"/>
      <w:ind w:firstLine="360"/>
    </w:pPr>
  </w:p>
  <w:p w14:paraId="301A6269">
    <w:pPr>
      <w:pStyle w:val="8"/>
      <w:pBdr>
        <w:bottom w:val="none" w:color="auto" w:sz="0" w:space="0"/>
      </w:pBdr>
      <w:spacing w:after="120"/>
      <w:ind w:firstLine="360"/>
    </w:pPr>
  </w:p>
  <w:p w14:paraId="7F3E23FE">
    <w:pPr>
      <w:pStyle w:val="8"/>
      <w:pBdr>
        <w:bottom w:val="none" w:color="auto" w:sz="0" w:space="0"/>
      </w:pBdr>
      <w:spacing w:after="120"/>
      <w:ind w:firstLine="360"/>
    </w:pPr>
  </w:p>
  <w:p w14:paraId="0DF7BCEA">
    <w:pPr>
      <w:pStyle w:val="8"/>
      <w:pBdr>
        <w:bottom w:val="none" w:color="auto" w:sz="0" w:space="0"/>
      </w:pBdr>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786E7">
    <w:pPr>
      <w:pStyle w:val="8"/>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1F39B">
    <w:pPr>
      <w:pStyle w:val="8"/>
      <w:spacing w:after="1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E4F1B">
    <w:pPr>
      <w:pStyle w:val="8"/>
      <w:pBdr>
        <w:bottom w:val="none" w:color="auto" w:sz="0" w:space="0"/>
      </w:pBdr>
      <w:spacing w:after="120"/>
      <w:ind w:firstLine="360"/>
    </w:pPr>
    <w:r>
      <mc:AlternateContent>
        <mc:Choice Requires="wpg">
          <w:drawing>
            <wp:anchor distT="0" distB="0" distL="114300" distR="114300" simplePos="0" relativeHeight="251659264" behindDoc="0" locked="0" layoutInCell="1" allowOverlap="1">
              <wp:simplePos x="0" y="0"/>
              <wp:positionH relativeFrom="column">
                <wp:posOffset>-608965</wp:posOffset>
              </wp:positionH>
              <wp:positionV relativeFrom="paragraph">
                <wp:posOffset>-205105</wp:posOffset>
              </wp:positionV>
              <wp:extent cx="7200265" cy="672465"/>
              <wp:effectExtent l="0" t="0" r="0" b="0"/>
              <wp:wrapNone/>
              <wp:docPr id="1" name="组合 1"/>
              <wp:cNvGraphicFramePr/>
              <a:graphic xmlns:a="http://schemas.openxmlformats.org/drawingml/2006/main">
                <a:graphicData uri="http://schemas.microsoft.com/office/word/2010/wordprocessingGroup">
                  <wpg:wgp>
                    <wpg:cNvGrpSpPr/>
                    <wpg:grpSpPr>
                      <a:xfrm>
                        <a:off x="0" y="0"/>
                        <a:ext cx="7200000" cy="672467"/>
                        <a:chOff x="267881" y="46301"/>
                        <a:chExt cx="7158873" cy="672467"/>
                      </a:xfrm>
                    </wpg:grpSpPr>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67881" y="46301"/>
                          <a:ext cx="7158873" cy="672467"/>
                        </a:xfrm>
                        <a:prstGeom prst="rect">
                          <a:avLst/>
                        </a:prstGeom>
                      </pic:spPr>
                    </pic:pic>
                    <wps:wsp>
                      <wps:cNvPr id="4" name="文本框 2"/>
                      <wps:cNvSpPr txBox="1">
                        <a:spLocks noChangeArrowheads="1"/>
                      </wps:cNvSpPr>
                      <wps:spPr bwMode="auto">
                        <a:xfrm>
                          <a:off x="5039597" y="194280"/>
                          <a:ext cx="2192757" cy="481964"/>
                        </a:xfrm>
                        <a:prstGeom prst="rect">
                          <a:avLst/>
                        </a:prstGeom>
                        <a:noFill/>
                        <a:ln w="9525">
                          <a:noFill/>
                          <a:miter lim="800000"/>
                        </a:ln>
                      </wps:spPr>
                      <wps:txbx>
                        <w:txbxContent>
                          <w:p w14:paraId="769F9101">
                            <w:pPr>
                              <w:spacing w:after="120"/>
                              <w:ind w:firstLine="560"/>
                              <w:rPr>
                                <w:rFonts w:ascii="方正中雅宋简体" w:eastAsia="方正中雅宋简体"/>
                                <w:szCs w:val="28"/>
                              </w:rPr>
                            </w:pPr>
                            <w:r>
                              <w:rPr>
                                <w:rFonts w:hint="eastAsia" w:ascii="华文中宋" w:hAnsi="华文中宋" w:eastAsia="华文中宋"/>
                                <w:szCs w:val="28"/>
                              </w:rPr>
                              <w:t>研报精选</w:t>
                            </w:r>
                            <w:r>
                              <w:rPr>
                                <w:rFonts w:hint="eastAsia" w:ascii="方正博雅刊宋简体" w:eastAsia="方正博雅刊宋简体"/>
                                <w:color w:val="A6A6A6"/>
                                <w:sz w:val="16"/>
                                <w:szCs w:val="16"/>
                              </w:rPr>
                              <w:t xml:space="preserve"> </w:t>
                            </w:r>
                            <w:r>
                              <w:rPr>
                                <w:rFonts w:ascii="方正博雅刊宋简体" w:eastAsia="方正博雅刊宋简体"/>
                                <w:color w:val="A6A6A6"/>
                                <w:sz w:val="16"/>
                                <w:szCs w:val="16"/>
                              </w:rPr>
                              <w:t xml:space="preserve"> </w:t>
                            </w:r>
                            <w:sdt>
                              <w:sdtPr>
                                <w:rPr>
                                  <w:rFonts w:ascii="方正博雅刊宋简体" w:eastAsia="方正博雅刊宋简体"/>
                                  <w:color w:val="A6A6A6"/>
                                  <w:sz w:val="16"/>
                                  <w:szCs w:val="16"/>
                                </w:rPr>
                                <w:alias w:val="时间域-页眉"/>
                                <w:tag w:val="Date_Field_Header"/>
                                <w:id w:val="616605251"/>
                                <w:placeholder>
                                  <w:docPart w:val="6511ADA9103747D4A3E2DF21CCC79917"/>
                                </w:placeholder>
                              </w:sdtPr>
                              <w:sdtEndPr>
                                <w:rPr>
                                  <w:rFonts w:ascii="方正博雅刊宋简体" w:eastAsia="方正博雅刊宋简体"/>
                                  <w:color w:val="A6A6A6"/>
                                  <w:sz w:val="16"/>
                                  <w:szCs w:val="16"/>
                                </w:rPr>
                              </w:sdtEndPr>
                              <w:sdtContent>
                                <w:r>
                                  <w:rPr>
                                    <w:rFonts w:ascii="方正博雅刊宋简体" w:eastAsia="方正博雅刊宋简体"/>
                                    <w:color w:val="A6A6A6"/>
                                    <w:sz w:val="16"/>
                                    <w:szCs w:val="16"/>
                                  </w:rPr>
                                  <w:fldChar w:fldCharType="begin"/>
                                </w:r>
                                <w:r>
                                  <w:rPr>
                                    <w:rFonts w:eastAsia="方正博雅刊宋简体"/>
                                    <w:color w:val="A6A6A6"/>
                                    <w:sz w:val="16"/>
                                    <w:szCs w:val="16"/>
                                  </w:rPr>
                                  <w:instrText xml:space="preserve"> DATE \@ " yyyy </w:instrText>
                                </w:r>
                                <w:r>
                                  <w:rPr>
                                    <w:rFonts w:hint="eastAsia" w:eastAsia="方正博雅刊宋简体"/>
                                    <w:color w:val="A6A6A6"/>
                                    <w:sz w:val="16"/>
                                    <w:szCs w:val="16"/>
                                  </w:rPr>
                                  <w:instrText xml:space="preserve">.</w:instrText>
                                </w:r>
                                <w:r>
                                  <w:rPr>
                                    <w:rFonts w:eastAsia="方正博雅刊宋简体"/>
                                    <w:color w:val="A6A6A6"/>
                                    <w:sz w:val="16"/>
                                    <w:szCs w:val="16"/>
                                  </w:rPr>
                                  <w:instrText xml:space="preserve">M.d " </w:instrText>
                                </w:r>
                                <w:r>
                                  <w:rPr>
                                    <w:rFonts w:ascii="方正博雅刊宋简体" w:eastAsia="方正博雅刊宋简体"/>
                                    <w:color w:val="A6A6A6"/>
                                    <w:sz w:val="16"/>
                                    <w:szCs w:val="16"/>
                                  </w:rPr>
                                  <w:fldChar w:fldCharType="separate"/>
                                </w:r>
                                <w:r>
                                  <w:rPr>
                                    <w:rFonts w:ascii="方正博雅刊宋简体" w:eastAsia="方正博雅刊宋简体"/>
                                    <w:color w:val="A6A6A6"/>
                                    <w:sz w:val="16"/>
                                    <w:szCs w:val="16"/>
                                  </w:rPr>
                                  <w:t xml:space="preserve"> 2026 .3.7 </w:t>
                                </w:r>
                                <w:r>
                                  <w:rPr>
                                    <w:rFonts w:ascii="方正博雅刊宋简体" w:eastAsia="方正博雅刊宋简体"/>
                                    <w:color w:val="A6A6A6"/>
                                    <w:sz w:val="16"/>
                                    <w:szCs w:val="16"/>
                                  </w:rPr>
                                  <w:fldChar w:fldCharType="end"/>
                                </w:r>
                              </w:sdtContent>
                            </w:sdt>
                          </w:p>
                        </w:txbxContent>
                      </wps:txbx>
                      <wps:bodyPr rot="0" vert="horz" wrap="square" lIns="91440" tIns="45720" rIns="91440" bIns="45720" anchor="t" anchorCtr="0">
                        <a:spAutoFit/>
                      </wps:bodyPr>
                    </wps:wsp>
                  </wpg:wgp>
                </a:graphicData>
              </a:graphic>
            </wp:anchor>
          </w:drawing>
        </mc:Choice>
        <mc:Fallback>
          <w:pict>
            <v:group id="_x0000_s1026" o:spid="_x0000_s1026" o:spt="203" style="position:absolute;left:0pt;margin-left:-47.95pt;margin-top:-16.15pt;height:52.95pt;width:566.95pt;z-index:251659264;mso-width-relative:page;mso-height-relative:page;" coordorigin="267881,46301" coordsize="7158873,672467" o:gfxdata="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">
              <o:lock v:ext="edit" aspectratio="f"/>
              <v:shape id="_x0000_s1026" o:spid="_x0000_s1026" o:spt="75" type="#_x0000_t75" style="position:absolute;left:267881;top:46301;height:672467;width:7158873;" filled="f" o:preferrelative="t" stroked="f" coordsize="21600,21600" o:gfxdata="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N6Yh7sAAADa&#10;AAAADwAAAAAAAAABACAAAAAiAAAAZHJzL2Rvd25yZXYueG1sUEsBAhQAFAAAAAgAh07iQDMvBZ47&#10;AAAAOQAAABAAAAAAAAAAAQAgAAAACgEAAGRycy9zaGFwZXhtbC54bWxQSwUGAAAAAAYABgBbAQAA&#10;tAMAAAAA&#10;">
                <v:fill on="f" focussize="0,0"/>
                <v:stroke on="f"/>
                <v:imagedata r:id="rId1" o:title=""/>
                <o:lock v:ext="edit" aspectratio="t"/>
              </v:shape>
              <v:shape id="文本框 2" o:spid="_x0000_s1026" o:spt="202" type="#_x0000_t202" style="position:absolute;left:5039597;top:194280;height:481964;width:2192757;" filled="f" stroked="f" coordsize="21600,21600" o:gfxdata="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BER7sAAADa&#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14:paraId="769F9101">
                      <w:pPr>
                        <w:spacing w:after="120"/>
                        <w:ind w:firstLine="560"/>
                        <w:rPr>
                          <w:rFonts w:ascii="方正中雅宋简体" w:eastAsia="方正中雅宋简体"/>
                          <w:szCs w:val="28"/>
                        </w:rPr>
                      </w:pPr>
                      <w:r>
                        <w:rPr>
                          <w:rFonts w:hint="eastAsia" w:ascii="华文中宋" w:hAnsi="华文中宋" w:eastAsia="华文中宋"/>
                          <w:szCs w:val="28"/>
                        </w:rPr>
                        <w:t>研报精选</w:t>
                      </w:r>
                      <w:r>
                        <w:rPr>
                          <w:rFonts w:hint="eastAsia" w:ascii="方正博雅刊宋简体" w:eastAsia="方正博雅刊宋简体"/>
                          <w:color w:val="A6A6A6"/>
                          <w:sz w:val="16"/>
                          <w:szCs w:val="16"/>
                        </w:rPr>
                        <w:t xml:space="preserve"> </w:t>
                      </w:r>
                      <w:r>
                        <w:rPr>
                          <w:rFonts w:ascii="方正博雅刊宋简体" w:eastAsia="方正博雅刊宋简体"/>
                          <w:color w:val="A6A6A6"/>
                          <w:sz w:val="16"/>
                          <w:szCs w:val="16"/>
                        </w:rPr>
                        <w:t xml:space="preserve"> </w:t>
                      </w:r>
                      <w:sdt>
                        <w:sdtPr>
                          <w:rPr>
                            <w:rFonts w:ascii="方正博雅刊宋简体" w:eastAsia="方正博雅刊宋简体"/>
                            <w:color w:val="A6A6A6"/>
                            <w:sz w:val="16"/>
                            <w:szCs w:val="16"/>
                          </w:rPr>
                          <w:alias w:val="时间域-页眉"/>
                          <w:tag w:val="Date_Field_Header"/>
                          <w:id w:val="616605251"/>
                          <w:placeholder>
                            <w:docPart w:val="6511ADA9103747D4A3E2DF21CCC79917"/>
                          </w:placeholder>
                        </w:sdtPr>
                        <w:sdtEndPr>
                          <w:rPr>
                            <w:rFonts w:ascii="方正博雅刊宋简体" w:eastAsia="方正博雅刊宋简体"/>
                            <w:color w:val="A6A6A6"/>
                            <w:sz w:val="16"/>
                            <w:szCs w:val="16"/>
                          </w:rPr>
                        </w:sdtEndPr>
                        <w:sdtContent>
                          <w:r>
                            <w:rPr>
                              <w:rFonts w:ascii="方正博雅刊宋简体" w:eastAsia="方正博雅刊宋简体"/>
                              <w:color w:val="A6A6A6"/>
                              <w:sz w:val="16"/>
                              <w:szCs w:val="16"/>
                            </w:rPr>
                            <w:fldChar w:fldCharType="begin"/>
                          </w:r>
                          <w:r>
                            <w:rPr>
                              <w:rFonts w:eastAsia="方正博雅刊宋简体"/>
                              <w:color w:val="A6A6A6"/>
                              <w:sz w:val="16"/>
                              <w:szCs w:val="16"/>
                            </w:rPr>
                            <w:instrText xml:space="preserve"> DATE \@ " yyyy </w:instrText>
                          </w:r>
                          <w:r>
                            <w:rPr>
                              <w:rFonts w:hint="eastAsia" w:eastAsia="方正博雅刊宋简体"/>
                              <w:color w:val="A6A6A6"/>
                              <w:sz w:val="16"/>
                              <w:szCs w:val="16"/>
                            </w:rPr>
                            <w:instrText xml:space="preserve">.</w:instrText>
                          </w:r>
                          <w:r>
                            <w:rPr>
                              <w:rFonts w:eastAsia="方正博雅刊宋简体"/>
                              <w:color w:val="A6A6A6"/>
                              <w:sz w:val="16"/>
                              <w:szCs w:val="16"/>
                            </w:rPr>
                            <w:instrText xml:space="preserve">M.d " </w:instrText>
                          </w:r>
                          <w:r>
                            <w:rPr>
                              <w:rFonts w:ascii="方正博雅刊宋简体" w:eastAsia="方正博雅刊宋简体"/>
                              <w:color w:val="A6A6A6"/>
                              <w:sz w:val="16"/>
                              <w:szCs w:val="16"/>
                            </w:rPr>
                            <w:fldChar w:fldCharType="separate"/>
                          </w:r>
                          <w:r>
                            <w:rPr>
                              <w:rFonts w:ascii="方正博雅刊宋简体" w:eastAsia="方正博雅刊宋简体"/>
                              <w:color w:val="A6A6A6"/>
                              <w:sz w:val="16"/>
                              <w:szCs w:val="16"/>
                            </w:rPr>
                            <w:t xml:space="preserve"> 2026 .3.7 </w:t>
                          </w:r>
                          <w:r>
                            <w:rPr>
                              <w:rFonts w:ascii="方正博雅刊宋简体" w:eastAsia="方正博雅刊宋简体"/>
                              <w:color w:val="A6A6A6"/>
                              <w:sz w:val="16"/>
                              <w:szCs w:val="16"/>
                            </w:rPr>
                            <w:fldChar w:fldCharType="end"/>
                          </w:r>
                        </w:sdtContent>
                      </w:sdt>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dit="readOnly" w:enforcement="1" w:cryptProviderType="rsaAES" w:cryptAlgorithmClass="hash" w:cryptAlgorithmType="typeAny" w:cryptAlgorithmSid="14" w:cryptSpinCount="100000" w:hash="bviinQddjF+bmhbI2t68Eysy+xj5KYS4XRYTv6nAEb6Cz1Uj7UhAQT22U/KZONzQvJzHEpC7INzm6hh/LD7O6Q==" w:salt="QBVQQNzxupG1irmocut3pQ=="/>
  <w:defaultTabStop w:val="420"/>
  <w:drawingGridVerticalSpacing w:val="156"/>
  <w:displayHorizontalDrawingGridEvery w:val="0"/>
  <w:displayVerticalDrawingGridEvery w:val="2"/>
  <w:characterSpacingControl w:val="compressPunctuation"/>
  <w:footnotePr>
    <w:footnote w:id="18"/>
    <w:footnote w:id="19"/>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A94"/>
    <w:rsid w:val="0000060F"/>
    <w:rsid w:val="000014C7"/>
    <w:rsid w:val="000015AB"/>
    <w:rsid w:val="00002390"/>
    <w:rsid w:val="000024F9"/>
    <w:rsid w:val="0000311B"/>
    <w:rsid w:val="00011AE5"/>
    <w:rsid w:val="00013AAD"/>
    <w:rsid w:val="00021AAC"/>
    <w:rsid w:val="00023981"/>
    <w:rsid w:val="00023A40"/>
    <w:rsid w:val="000248A7"/>
    <w:rsid w:val="00025E62"/>
    <w:rsid w:val="00026DD7"/>
    <w:rsid w:val="0002745E"/>
    <w:rsid w:val="0003296A"/>
    <w:rsid w:val="000329E8"/>
    <w:rsid w:val="00034D98"/>
    <w:rsid w:val="00035D33"/>
    <w:rsid w:val="00036ED0"/>
    <w:rsid w:val="00037B5C"/>
    <w:rsid w:val="00042D5C"/>
    <w:rsid w:val="00043B72"/>
    <w:rsid w:val="0004441A"/>
    <w:rsid w:val="000508D8"/>
    <w:rsid w:val="00051AD1"/>
    <w:rsid w:val="00054DD7"/>
    <w:rsid w:val="000577C6"/>
    <w:rsid w:val="000577F2"/>
    <w:rsid w:val="00061F90"/>
    <w:rsid w:val="00064981"/>
    <w:rsid w:val="000673AB"/>
    <w:rsid w:val="00071D28"/>
    <w:rsid w:val="000727BB"/>
    <w:rsid w:val="00072E57"/>
    <w:rsid w:val="000750E4"/>
    <w:rsid w:val="00076909"/>
    <w:rsid w:val="0007756F"/>
    <w:rsid w:val="0008309E"/>
    <w:rsid w:val="00083DDB"/>
    <w:rsid w:val="000868DF"/>
    <w:rsid w:val="00091277"/>
    <w:rsid w:val="00091D2E"/>
    <w:rsid w:val="000934D0"/>
    <w:rsid w:val="00096FB9"/>
    <w:rsid w:val="000A0EF2"/>
    <w:rsid w:val="000A29B7"/>
    <w:rsid w:val="000A2F0B"/>
    <w:rsid w:val="000A34E1"/>
    <w:rsid w:val="000A4D2B"/>
    <w:rsid w:val="000A6B88"/>
    <w:rsid w:val="000B0361"/>
    <w:rsid w:val="000B1DD4"/>
    <w:rsid w:val="000B4EE7"/>
    <w:rsid w:val="000B4EF4"/>
    <w:rsid w:val="000B5B84"/>
    <w:rsid w:val="000B5DFB"/>
    <w:rsid w:val="000B6202"/>
    <w:rsid w:val="000B64A8"/>
    <w:rsid w:val="000B7D55"/>
    <w:rsid w:val="000C35B3"/>
    <w:rsid w:val="000C51D5"/>
    <w:rsid w:val="000D026A"/>
    <w:rsid w:val="000D35A0"/>
    <w:rsid w:val="000D3D54"/>
    <w:rsid w:val="000D6B3E"/>
    <w:rsid w:val="000D712C"/>
    <w:rsid w:val="000D7580"/>
    <w:rsid w:val="000E2D87"/>
    <w:rsid w:val="000F16DF"/>
    <w:rsid w:val="000F311A"/>
    <w:rsid w:val="000F3D87"/>
    <w:rsid w:val="000F7AFB"/>
    <w:rsid w:val="0010086F"/>
    <w:rsid w:val="00102A56"/>
    <w:rsid w:val="00105708"/>
    <w:rsid w:val="00105A88"/>
    <w:rsid w:val="00107CB7"/>
    <w:rsid w:val="00113395"/>
    <w:rsid w:val="0011720D"/>
    <w:rsid w:val="001175F5"/>
    <w:rsid w:val="00117A17"/>
    <w:rsid w:val="00117D06"/>
    <w:rsid w:val="001213BF"/>
    <w:rsid w:val="0012359B"/>
    <w:rsid w:val="00123A64"/>
    <w:rsid w:val="001307A0"/>
    <w:rsid w:val="00132078"/>
    <w:rsid w:val="00132BAD"/>
    <w:rsid w:val="0013340B"/>
    <w:rsid w:val="00137426"/>
    <w:rsid w:val="00140B90"/>
    <w:rsid w:val="0014302C"/>
    <w:rsid w:val="00144DBB"/>
    <w:rsid w:val="001465DE"/>
    <w:rsid w:val="00155816"/>
    <w:rsid w:val="00161659"/>
    <w:rsid w:val="00162496"/>
    <w:rsid w:val="00165BA5"/>
    <w:rsid w:val="00166584"/>
    <w:rsid w:val="0016740A"/>
    <w:rsid w:val="00167DE2"/>
    <w:rsid w:val="00170F0C"/>
    <w:rsid w:val="0017203F"/>
    <w:rsid w:val="0017304D"/>
    <w:rsid w:val="00174168"/>
    <w:rsid w:val="00175A79"/>
    <w:rsid w:val="00176248"/>
    <w:rsid w:val="0017672C"/>
    <w:rsid w:val="001817FF"/>
    <w:rsid w:val="001822F5"/>
    <w:rsid w:val="00182575"/>
    <w:rsid w:val="00183531"/>
    <w:rsid w:val="00184997"/>
    <w:rsid w:val="001864CF"/>
    <w:rsid w:val="00186F35"/>
    <w:rsid w:val="001876F7"/>
    <w:rsid w:val="00187A69"/>
    <w:rsid w:val="001912DE"/>
    <w:rsid w:val="00191481"/>
    <w:rsid w:val="001939BD"/>
    <w:rsid w:val="00196029"/>
    <w:rsid w:val="001A02B5"/>
    <w:rsid w:val="001A0EDA"/>
    <w:rsid w:val="001A6CE9"/>
    <w:rsid w:val="001B2E33"/>
    <w:rsid w:val="001B441D"/>
    <w:rsid w:val="001B557D"/>
    <w:rsid w:val="001B5D95"/>
    <w:rsid w:val="001B7B66"/>
    <w:rsid w:val="001C0679"/>
    <w:rsid w:val="001C21A4"/>
    <w:rsid w:val="001C6EB5"/>
    <w:rsid w:val="001D0CC6"/>
    <w:rsid w:val="001D1019"/>
    <w:rsid w:val="001D1D79"/>
    <w:rsid w:val="001D400A"/>
    <w:rsid w:val="001D4790"/>
    <w:rsid w:val="001D618F"/>
    <w:rsid w:val="001E0649"/>
    <w:rsid w:val="001E1C76"/>
    <w:rsid w:val="001E476E"/>
    <w:rsid w:val="001E50B1"/>
    <w:rsid w:val="001E5EE2"/>
    <w:rsid w:val="001F0F8D"/>
    <w:rsid w:val="001F1814"/>
    <w:rsid w:val="001F26E3"/>
    <w:rsid w:val="001F2C54"/>
    <w:rsid w:val="001F3588"/>
    <w:rsid w:val="001F3FE3"/>
    <w:rsid w:val="001F4888"/>
    <w:rsid w:val="001F488F"/>
    <w:rsid w:val="001F6E79"/>
    <w:rsid w:val="00200C3C"/>
    <w:rsid w:val="00205143"/>
    <w:rsid w:val="0020733D"/>
    <w:rsid w:val="00207367"/>
    <w:rsid w:val="002110CD"/>
    <w:rsid w:val="002117C1"/>
    <w:rsid w:val="00212CFA"/>
    <w:rsid w:val="0021612E"/>
    <w:rsid w:val="002164CE"/>
    <w:rsid w:val="00216E8C"/>
    <w:rsid w:val="00216FE9"/>
    <w:rsid w:val="00221884"/>
    <w:rsid w:val="00222864"/>
    <w:rsid w:val="002275F0"/>
    <w:rsid w:val="00227A97"/>
    <w:rsid w:val="00227FD7"/>
    <w:rsid w:val="00231506"/>
    <w:rsid w:val="0023497B"/>
    <w:rsid w:val="00237A49"/>
    <w:rsid w:val="002402A5"/>
    <w:rsid w:val="00244945"/>
    <w:rsid w:val="00245D69"/>
    <w:rsid w:val="00246E0E"/>
    <w:rsid w:val="00247C2E"/>
    <w:rsid w:val="002501D3"/>
    <w:rsid w:val="002514A3"/>
    <w:rsid w:val="00261468"/>
    <w:rsid w:val="00262D48"/>
    <w:rsid w:val="00263E95"/>
    <w:rsid w:val="002647C7"/>
    <w:rsid w:val="00265922"/>
    <w:rsid w:val="00265E77"/>
    <w:rsid w:val="00270BE0"/>
    <w:rsid w:val="00270ED2"/>
    <w:rsid w:val="002725AD"/>
    <w:rsid w:val="0027369A"/>
    <w:rsid w:val="002800AC"/>
    <w:rsid w:val="002824AF"/>
    <w:rsid w:val="00282638"/>
    <w:rsid w:val="0028296D"/>
    <w:rsid w:val="002830AD"/>
    <w:rsid w:val="002859FC"/>
    <w:rsid w:val="00290E81"/>
    <w:rsid w:val="0029154D"/>
    <w:rsid w:val="0029293C"/>
    <w:rsid w:val="0029493D"/>
    <w:rsid w:val="002A669A"/>
    <w:rsid w:val="002A7A91"/>
    <w:rsid w:val="002B0C1F"/>
    <w:rsid w:val="002B1194"/>
    <w:rsid w:val="002B186E"/>
    <w:rsid w:val="002B33D8"/>
    <w:rsid w:val="002C19D8"/>
    <w:rsid w:val="002E1AD4"/>
    <w:rsid w:val="002E3574"/>
    <w:rsid w:val="002E480C"/>
    <w:rsid w:val="002E57F0"/>
    <w:rsid w:val="002E581A"/>
    <w:rsid w:val="002E6DCC"/>
    <w:rsid w:val="002E7E64"/>
    <w:rsid w:val="002F00A8"/>
    <w:rsid w:val="002F1876"/>
    <w:rsid w:val="002F20B7"/>
    <w:rsid w:val="002F2C40"/>
    <w:rsid w:val="002F2D61"/>
    <w:rsid w:val="002F4138"/>
    <w:rsid w:val="002F535B"/>
    <w:rsid w:val="002F5BD5"/>
    <w:rsid w:val="00303288"/>
    <w:rsid w:val="00306C17"/>
    <w:rsid w:val="003077CB"/>
    <w:rsid w:val="0031445F"/>
    <w:rsid w:val="0031532D"/>
    <w:rsid w:val="003160F8"/>
    <w:rsid w:val="00320380"/>
    <w:rsid w:val="00320564"/>
    <w:rsid w:val="0032375B"/>
    <w:rsid w:val="00324B7F"/>
    <w:rsid w:val="003264BB"/>
    <w:rsid w:val="00326D5D"/>
    <w:rsid w:val="00327A24"/>
    <w:rsid w:val="003320F7"/>
    <w:rsid w:val="00332906"/>
    <w:rsid w:val="00333153"/>
    <w:rsid w:val="003340DF"/>
    <w:rsid w:val="00335937"/>
    <w:rsid w:val="00336840"/>
    <w:rsid w:val="0034299A"/>
    <w:rsid w:val="00342B6D"/>
    <w:rsid w:val="00343C6B"/>
    <w:rsid w:val="0034652A"/>
    <w:rsid w:val="00347835"/>
    <w:rsid w:val="003543A2"/>
    <w:rsid w:val="00354F6C"/>
    <w:rsid w:val="00360523"/>
    <w:rsid w:val="00362917"/>
    <w:rsid w:val="00363F5E"/>
    <w:rsid w:val="00364E1D"/>
    <w:rsid w:val="00366FEF"/>
    <w:rsid w:val="003709A0"/>
    <w:rsid w:val="00371A4D"/>
    <w:rsid w:val="0037220B"/>
    <w:rsid w:val="0037520D"/>
    <w:rsid w:val="00376FA4"/>
    <w:rsid w:val="00377460"/>
    <w:rsid w:val="00380B2F"/>
    <w:rsid w:val="003844A0"/>
    <w:rsid w:val="0038502B"/>
    <w:rsid w:val="003906AD"/>
    <w:rsid w:val="0039202B"/>
    <w:rsid w:val="00393053"/>
    <w:rsid w:val="0039657D"/>
    <w:rsid w:val="00397802"/>
    <w:rsid w:val="003A0091"/>
    <w:rsid w:val="003A0F4F"/>
    <w:rsid w:val="003A17DB"/>
    <w:rsid w:val="003A2E98"/>
    <w:rsid w:val="003A614E"/>
    <w:rsid w:val="003B16CC"/>
    <w:rsid w:val="003B5581"/>
    <w:rsid w:val="003B55EC"/>
    <w:rsid w:val="003B6F97"/>
    <w:rsid w:val="003C1F03"/>
    <w:rsid w:val="003C4FB6"/>
    <w:rsid w:val="003D10F3"/>
    <w:rsid w:val="003D13C2"/>
    <w:rsid w:val="003D2687"/>
    <w:rsid w:val="003D676D"/>
    <w:rsid w:val="003D7C73"/>
    <w:rsid w:val="003E035B"/>
    <w:rsid w:val="003E1EFD"/>
    <w:rsid w:val="003E42EC"/>
    <w:rsid w:val="003E533B"/>
    <w:rsid w:val="003E57DC"/>
    <w:rsid w:val="003F4E20"/>
    <w:rsid w:val="003F6B0A"/>
    <w:rsid w:val="003F6FDE"/>
    <w:rsid w:val="00400D08"/>
    <w:rsid w:val="004013DE"/>
    <w:rsid w:val="00401708"/>
    <w:rsid w:val="00405C3B"/>
    <w:rsid w:val="00407A50"/>
    <w:rsid w:val="00410093"/>
    <w:rsid w:val="00410186"/>
    <w:rsid w:val="00411877"/>
    <w:rsid w:val="00416DC8"/>
    <w:rsid w:val="004206C2"/>
    <w:rsid w:val="00422406"/>
    <w:rsid w:val="004225A0"/>
    <w:rsid w:val="00424A94"/>
    <w:rsid w:val="0042639E"/>
    <w:rsid w:val="00427534"/>
    <w:rsid w:val="00431DC4"/>
    <w:rsid w:val="00437362"/>
    <w:rsid w:val="00441457"/>
    <w:rsid w:val="004415FE"/>
    <w:rsid w:val="004416CD"/>
    <w:rsid w:val="00444357"/>
    <w:rsid w:val="00446692"/>
    <w:rsid w:val="004510FF"/>
    <w:rsid w:val="00453D62"/>
    <w:rsid w:val="00456148"/>
    <w:rsid w:val="00460D44"/>
    <w:rsid w:val="004613D4"/>
    <w:rsid w:val="00462076"/>
    <w:rsid w:val="004625F8"/>
    <w:rsid w:val="00464A56"/>
    <w:rsid w:val="00466A08"/>
    <w:rsid w:val="00467ABA"/>
    <w:rsid w:val="004700F1"/>
    <w:rsid w:val="00471E77"/>
    <w:rsid w:val="004759E3"/>
    <w:rsid w:val="004772B5"/>
    <w:rsid w:val="0048070D"/>
    <w:rsid w:val="004816D3"/>
    <w:rsid w:val="0048324D"/>
    <w:rsid w:val="0048426B"/>
    <w:rsid w:val="00485029"/>
    <w:rsid w:val="004863EF"/>
    <w:rsid w:val="004879BC"/>
    <w:rsid w:val="00491222"/>
    <w:rsid w:val="0049192A"/>
    <w:rsid w:val="00491B9C"/>
    <w:rsid w:val="0049224C"/>
    <w:rsid w:val="00492AEF"/>
    <w:rsid w:val="004931CC"/>
    <w:rsid w:val="004939D4"/>
    <w:rsid w:val="004975F9"/>
    <w:rsid w:val="004A13FE"/>
    <w:rsid w:val="004A1C1F"/>
    <w:rsid w:val="004A280C"/>
    <w:rsid w:val="004A3185"/>
    <w:rsid w:val="004A33A9"/>
    <w:rsid w:val="004A5F3E"/>
    <w:rsid w:val="004A6F73"/>
    <w:rsid w:val="004A7CF3"/>
    <w:rsid w:val="004B185E"/>
    <w:rsid w:val="004B39C5"/>
    <w:rsid w:val="004B40DB"/>
    <w:rsid w:val="004C1D48"/>
    <w:rsid w:val="004C284F"/>
    <w:rsid w:val="004C29FB"/>
    <w:rsid w:val="004C448C"/>
    <w:rsid w:val="004C49DE"/>
    <w:rsid w:val="004D20FC"/>
    <w:rsid w:val="004D3CE7"/>
    <w:rsid w:val="004D7354"/>
    <w:rsid w:val="004E2350"/>
    <w:rsid w:val="004E2352"/>
    <w:rsid w:val="004E5E98"/>
    <w:rsid w:val="004F1092"/>
    <w:rsid w:val="004F13CA"/>
    <w:rsid w:val="004F3341"/>
    <w:rsid w:val="004F350B"/>
    <w:rsid w:val="004F3FE2"/>
    <w:rsid w:val="004F4D98"/>
    <w:rsid w:val="004F6F45"/>
    <w:rsid w:val="00500093"/>
    <w:rsid w:val="005053C3"/>
    <w:rsid w:val="00510C9F"/>
    <w:rsid w:val="00511184"/>
    <w:rsid w:val="005131ED"/>
    <w:rsid w:val="00515EEF"/>
    <w:rsid w:val="005166E0"/>
    <w:rsid w:val="00520E92"/>
    <w:rsid w:val="00523877"/>
    <w:rsid w:val="005251C1"/>
    <w:rsid w:val="00530638"/>
    <w:rsid w:val="00532CF5"/>
    <w:rsid w:val="00535FC3"/>
    <w:rsid w:val="0053646D"/>
    <w:rsid w:val="005422DD"/>
    <w:rsid w:val="00542476"/>
    <w:rsid w:val="00543056"/>
    <w:rsid w:val="00543682"/>
    <w:rsid w:val="005444D3"/>
    <w:rsid w:val="00547726"/>
    <w:rsid w:val="00547FD0"/>
    <w:rsid w:val="005509C5"/>
    <w:rsid w:val="0055141D"/>
    <w:rsid w:val="005522B5"/>
    <w:rsid w:val="0056182E"/>
    <w:rsid w:val="00564001"/>
    <w:rsid w:val="00564137"/>
    <w:rsid w:val="00567BBB"/>
    <w:rsid w:val="00570EE4"/>
    <w:rsid w:val="0057494B"/>
    <w:rsid w:val="0057677D"/>
    <w:rsid w:val="00581A8E"/>
    <w:rsid w:val="00581AC6"/>
    <w:rsid w:val="0058249E"/>
    <w:rsid w:val="00583484"/>
    <w:rsid w:val="005834D8"/>
    <w:rsid w:val="00585D38"/>
    <w:rsid w:val="00586664"/>
    <w:rsid w:val="00587A52"/>
    <w:rsid w:val="00591D3B"/>
    <w:rsid w:val="005945F8"/>
    <w:rsid w:val="0059486D"/>
    <w:rsid w:val="0059598D"/>
    <w:rsid w:val="005959BC"/>
    <w:rsid w:val="00597385"/>
    <w:rsid w:val="005A7F19"/>
    <w:rsid w:val="005B055C"/>
    <w:rsid w:val="005B05ED"/>
    <w:rsid w:val="005B21E2"/>
    <w:rsid w:val="005B230A"/>
    <w:rsid w:val="005B32D7"/>
    <w:rsid w:val="005B3BFA"/>
    <w:rsid w:val="005B6B2D"/>
    <w:rsid w:val="005B6C19"/>
    <w:rsid w:val="005B7CE7"/>
    <w:rsid w:val="005C208F"/>
    <w:rsid w:val="005C20B1"/>
    <w:rsid w:val="005C29DC"/>
    <w:rsid w:val="005C4280"/>
    <w:rsid w:val="005D078F"/>
    <w:rsid w:val="005D61CF"/>
    <w:rsid w:val="005D74AE"/>
    <w:rsid w:val="005E42CE"/>
    <w:rsid w:val="005E664A"/>
    <w:rsid w:val="005E6A80"/>
    <w:rsid w:val="005F0830"/>
    <w:rsid w:val="005F0B97"/>
    <w:rsid w:val="005F18AD"/>
    <w:rsid w:val="005F36DA"/>
    <w:rsid w:val="005F3B3A"/>
    <w:rsid w:val="005F4339"/>
    <w:rsid w:val="005F521D"/>
    <w:rsid w:val="005F77A5"/>
    <w:rsid w:val="006000EF"/>
    <w:rsid w:val="00602D32"/>
    <w:rsid w:val="00602E93"/>
    <w:rsid w:val="00602EB6"/>
    <w:rsid w:val="00606E91"/>
    <w:rsid w:val="006103AB"/>
    <w:rsid w:val="00611450"/>
    <w:rsid w:val="00615934"/>
    <w:rsid w:val="0063173E"/>
    <w:rsid w:val="006323EC"/>
    <w:rsid w:val="00632479"/>
    <w:rsid w:val="00633763"/>
    <w:rsid w:val="00636B37"/>
    <w:rsid w:val="0063778D"/>
    <w:rsid w:val="00641E37"/>
    <w:rsid w:val="00641E52"/>
    <w:rsid w:val="006440D5"/>
    <w:rsid w:val="00646D79"/>
    <w:rsid w:val="0065057F"/>
    <w:rsid w:val="006507BF"/>
    <w:rsid w:val="006508F0"/>
    <w:rsid w:val="00654CFB"/>
    <w:rsid w:val="0065782C"/>
    <w:rsid w:val="006605D4"/>
    <w:rsid w:val="006615D0"/>
    <w:rsid w:val="0066183F"/>
    <w:rsid w:val="006629BB"/>
    <w:rsid w:val="00664387"/>
    <w:rsid w:val="00667ED5"/>
    <w:rsid w:val="006717EE"/>
    <w:rsid w:val="00677E5C"/>
    <w:rsid w:val="00677E6B"/>
    <w:rsid w:val="00680070"/>
    <w:rsid w:val="00682157"/>
    <w:rsid w:val="00682655"/>
    <w:rsid w:val="00682912"/>
    <w:rsid w:val="00682D3E"/>
    <w:rsid w:val="00683694"/>
    <w:rsid w:val="0069046D"/>
    <w:rsid w:val="0069317C"/>
    <w:rsid w:val="0069584A"/>
    <w:rsid w:val="00696F98"/>
    <w:rsid w:val="006A0C77"/>
    <w:rsid w:val="006A1719"/>
    <w:rsid w:val="006A322E"/>
    <w:rsid w:val="006A4CAF"/>
    <w:rsid w:val="006A5095"/>
    <w:rsid w:val="006B3E8B"/>
    <w:rsid w:val="006B520A"/>
    <w:rsid w:val="006B53B1"/>
    <w:rsid w:val="006B6FFA"/>
    <w:rsid w:val="006B711E"/>
    <w:rsid w:val="006B7744"/>
    <w:rsid w:val="006B7971"/>
    <w:rsid w:val="006C1137"/>
    <w:rsid w:val="006C16F2"/>
    <w:rsid w:val="006C35E7"/>
    <w:rsid w:val="006C446D"/>
    <w:rsid w:val="006C472C"/>
    <w:rsid w:val="006C66C7"/>
    <w:rsid w:val="006C7C86"/>
    <w:rsid w:val="006D3057"/>
    <w:rsid w:val="006D3682"/>
    <w:rsid w:val="006D67CD"/>
    <w:rsid w:val="006E33B4"/>
    <w:rsid w:val="006F04FF"/>
    <w:rsid w:val="006F0BEE"/>
    <w:rsid w:val="006F0EA3"/>
    <w:rsid w:val="006F28C0"/>
    <w:rsid w:val="006F6F4C"/>
    <w:rsid w:val="00701286"/>
    <w:rsid w:val="007019F5"/>
    <w:rsid w:val="00701C7A"/>
    <w:rsid w:val="00703904"/>
    <w:rsid w:val="00703E95"/>
    <w:rsid w:val="00705679"/>
    <w:rsid w:val="007070CE"/>
    <w:rsid w:val="007104FC"/>
    <w:rsid w:val="00714537"/>
    <w:rsid w:val="00715897"/>
    <w:rsid w:val="007172A4"/>
    <w:rsid w:val="00720B47"/>
    <w:rsid w:val="00720DE2"/>
    <w:rsid w:val="00721EBB"/>
    <w:rsid w:val="0072705F"/>
    <w:rsid w:val="007304BB"/>
    <w:rsid w:val="0073086F"/>
    <w:rsid w:val="00732B2C"/>
    <w:rsid w:val="00734D63"/>
    <w:rsid w:val="00735DB5"/>
    <w:rsid w:val="00737712"/>
    <w:rsid w:val="00742E30"/>
    <w:rsid w:val="00743D20"/>
    <w:rsid w:val="0074514A"/>
    <w:rsid w:val="007468DB"/>
    <w:rsid w:val="0075025D"/>
    <w:rsid w:val="00750FE5"/>
    <w:rsid w:val="007533B4"/>
    <w:rsid w:val="007556A4"/>
    <w:rsid w:val="00757D0D"/>
    <w:rsid w:val="007609CC"/>
    <w:rsid w:val="00760D4F"/>
    <w:rsid w:val="00762162"/>
    <w:rsid w:val="0076223B"/>
    <w:rsid w:val="00763C28"/>
    <w:rsid w:val="00764A03"/>
    <w:rsid w:val="007651C1"/>
    <w:rsid w:val="00770CD4"/>
    <w:rsid w:val="007740D5"/>
    <w:rsid w:val="00774121"/>
    <w:rsid w:val="00776C9C"/>
    <w:rsid w:val="007774CD"/>
    <w:rsid w:val="00780C52"/>
    <w:rsid w:val="00781401"/>
    <w:rsid w:val="007819E6"/>
    <w:rsid w:val="0078424A"/>
    <w:rsid w:val="007865CC"/>
    <w:rsid w:val="00790B6C"/>
    <w:rsid w:val="00793AC9"/>
    <w:rsid w:val="007945E6"/>
    <w:rsid w:val="007966F9"/>
    <w:rsid w:val="007A0FED"/>
    <w:rsid w:val="007A2B41"/>
    <w:rsid w:val="007A5B17"/>
    <w:rsid w:val="007A6F2C"/>
    <w:rsid w:val="007B0ECB"/>
    <w:rsid w:val="007B6A91"/>
    <w:rsid w:val="007B6BCD"/>
    <w:rsid w:val="007C035A"/>
    <w:rsid w:val="007C1131"/>
    <w:rsid w:val="007C20A8"/>
    <w:rsid w:val="007C2F71"/>
    <w:rsid w:val="007C455B"/>
    <w:rsid w:val="007C4FEE"/>
    <w:rsid w:val="007D4702"/>
    <w:rsid w:val="007D47A5"/>
    <w:rsid w:val="007D686A"/>
    <w:rsid w:val="007D6909"/>
    <w:rsid w:val="007E38F4"/>
    <w:rsid w:val="007F16C7"/>
    <w:rsid w:val="007F23B9"/>
    <w:rsid w:val="007F3DCE"/>
    <w:rsid w:val="007F417C"/>
    <w:rsid w:val="007F5180"/>
    <w:rsid w:val="007F6D7D"/>
    <w:rsid w:val="007F771E"/>
    <w:rsid w:val="00800B21"/>
    <w:rsid w:val="008015C4"/>
    <w:rsid w:val="00801F3F"/>
    <w:rsid w:val="00803195"/>
    <w:rsid w:val="00803B55"/>
    <w:rsid w:val="008068B8"/>
    <w:rsid w:val="00815F48"/>
    <w:rsid w:val="0081615A"/>
    <w:rsid w:val="00820902"/>
    <w:rsid w:val="00820984"/>
    <w:rsid w:val="008210C8"/>
    <w:rsid w:val="0082146B"/>
    <w:rsid w:val="00823795"/>
    <w:rsid w:val="00823CE8"/>
    <w:rsid w:val="00824387"/>
    <w:rsid w:val="00824BB4"/>
    <w:rsid w:val="0082567D"/>
    <w:rsid w:val="0082727B"/>
    <w:rsid w:val="00831726"/>
    <w:rsid w:val="00831CB6"/>
    <w:rsid w:val="00832289"/>
    <w:rsid w:val="008323F0"/>
    <w:rsid w:val="008422E8"/>
    <w:rsid w:val="008430EA"/>
    <w:rsid w:val="008448DD"/>
    <w:rsid w:val="0084665C"/>
    <w:rsid w:val="0085000B"/>
    <w:rsid w:val="008508C8"/>
    <w:rsid w:val="008509B6"/>
    <w:rsid w:val="00851F26"/>
    <w:rsid w:val="0085431F"/>
    <w:rsid w:val="00854A94"/>
    <w:rsid w:val="00855206"/>
    <w:rsid w:val="00857EB7"/>
    <w:rsid w:val="00857FB2"/>
    <w:rsid w:val="00862E91"/>
    <w:rsid w:val="00863775"/>
    <w:rsid w:val="00863C1C"/>
    <w:rsid w:val="00863C73"/>
    <w:rsid w:val="008656AA"/>
    <w:rsid w:val="008663D4"/>
    <w:rsid w:val="008665A4"/>
    <w:rsid w:val="00867B40"/>
    <w:rsid w:val="00872595"/>
    <w:rsid w:val="00873B57"/>
    <w:rsid w:val="00874FFB"/>
    <w:rsid w:val="008756ED"/>
    <w:rsid w:val="00876393"/>
    <w:rsid w:val="00876D88"/>
    <w:rsid w:val="008779AD"/>
    <w:rsid w:val="008848F3"/>
    <w:rsid w:val="00887968"/>
    <w:rsid w:val="008903F5"/>
    <w:rsid w:val="00891E32"/>
    <w:rsid w:val="0089381B"/>
    <w:rsid w:val="008948EB"/>
    <w:rsid w:val="00895242"/>
    <w:rsid w:val="008A0A62"/>
    <w:rsid w:val="008A28CE"/>
    <w:rsid w:val="008A787D"/>
    <w:rsid w:val="008A7FC8"/>
    <w:rsid w:val="008B0669"/>
    <w:rsid w:val="008B183F"/>
    <w:rsid w:val="008B3B05"/>
    <w:rsid w:val="008B5CC4"/>
    <w:rsid w:val="008B60F5"/>
    <w:rsid w:val="008C1813"/>
    <w:rsid w:val="008C4C7A"/>
    <w:rsid w:val="008C659E"/>
    <w:rsid w:val="008C6A1A"/>
    <w:rsid w:val="008D3C2C"/>
    <w:rsid w:val="008D4D8A"/>
    <w:rsid w:val="008D70FA"/>
    <w:rsid w:val="008D77E2"/>
    <w:rsid w:val="008E0504"/>
    <w:rsid w:val="008E05B7"/>
    <w:rsid w:val="008E19B2"/>
    <w:rsid w:val="008E222A"/>
    <w:rsid w:val="008E24EB"/>
    <w:rsid w:val="008E28C2"/>
    <w:rsid w:val="008E2BD3"/>
    <w:rsid w:val="008E6944"/>
    <w:rsid w:val="008E6F6A"/>
    <w:rsid w:val="008E7422"/>
    <w:rsid w:val="008F2063"/>
    <w:rsid w:val="008F2B21"/>
    <w:rsid w:val="008F5E4F"/>
    <w:rsid w:val="008F7D48"/>
    <w:rsid w:val="008F7D8C"/>
    <w:rsid w:val="00902AD9"/>
    <w:rsid w:val="009044BE"/>
    <w:rsid w:val="0090554C"/>
    <w:rsid w:val="00905C53"/>
    <w:rsid w:val="009061F5"/>
    <w:rsid w:val="009121B0"/>
    <w:rsid w:val="00912537"/>
    <w:rsid w:val="00913573"/>
    <w:rsid w:val="0091541F"/>
    <w:rsid w:val="00915DB4"/>
    <w:rsid w:val="0091695B"/>
    <w:rsid w:val="0091735F"/>
    <w:rsid w:val="00920710"/>
    <w:rsid w:val="00920B97"/>
    <w:rsid w:val="00921B68"/>
    <w:rsid w:val="009239C4"/>
    <w:rsid w:val="00925599"/>
    <w:rsid w:val="0092583C"/>
    <w:rsid w:val="00925C74"/>
    <w:rsid w:val="0093082E"/>
    <w:rsid w:val="00933619"/>
    <w:rsid w:val="00936677"/>
    <w:rsid w:val="0093771D"/>
    <w:rsid w:val="00941205"/>
    <w:rsid w:val="00941B1F"/>
    <w:rsid w:val="00943077"/>
    <w:rsid w:val="0094653E"/>
    <w:rsid w:val="0094760D"/>
    <w:rsid w:val="00950868"/>
    <w:rsid w:val="00950A99"/>
    <w:rsid w:val="00955061"/>
    <w:rsid w:val="009550A3"/>
    <w:rsid w:val="0095618D"/>
    <w:rsid w:val="00960711"/>
    <w:rsid w:val="00960F40"/>
    <w:rsid w:val="00961FB3"/>
    <w:rsid w:val="00973EEC"/>
    <w:rsid w:val="00974463"/>
    <w:rsid w:val="00974768"/>
    <w:rsid w:val="0097551A"/>
    <w:rsid w:val="00975DC8"/>
    <w:rsid w:val="00977A34"/>
    <w:rsid w:val="0098120D"/>
    <w:rsid w:val="009813B0"/>
    <w:rsid w:val="009827CF"/>
    <w:rsid w:val="0098316B"/>
    <w:rsid w:val="00985449"/>
    <w:rsid w:val="00985630"/>
    <w:rsid w:val="00987BF5"/>
    <w:rsid w:val="00987E17"/>
    <w:rsid w:val="00990EA1"/>
    <w:rsid w:val="009910C5"/>
    <w:rsid w:val="00991707"/>
    <w:rsid w:val="00992EC2"/>
    <w:rsid w:val="009946FF"/>
    <w:rsid w:val="00995282"/>
    <w:rsid w:val="009A0F43"/>
    <w:rsid w:val="009A1661"/>
    <w:rsid w:val="009A17F1"/>
    <w:rsid w:val="009A1861"/>
    <w:rsid w:val="009A6E4D"/>
    <w:rsid w:val="009A76CF"/>
    <w:rsid w:val="009B37F0"/>
    <w:rsid w:val="009B3CA9"/>
    <w:rsid w:val="009B47BD"/>
    <w:rsid w:val="009B5590"/>
    <w:rsid w:val="009C0901"/>
    <w:rsid w:val="009C18FA"/>
    <w:rsid w:val="009C5EBD"/>
    <w:rsid w:val="009C6717"/>
    <w:rsid w:val="009D2830"/>
    <w:rsid w:val="009D2CC0"/>
    <w:rsid w:val="009D3F78"/>
    <w:rsid w:val="009D6B66"/>
    <w:rsid w:val="009E0F37"/>
    <w:rsid w:val="009E142E"/>
    <w:rsid w:val="009E150A"/>
    <w:rsid w:val="009E162D"/>
    <w:rsid w:val="009E253A"/>
    <w:rsid w:val="009E3E53"/>
    <w:rsid w:val="009E410F"/>
    <w:rsid w:val="009E51AC"/>
    <w:rsid w:val="009F12F4"/>
    <w:rsid w:val="009F2E25"/>
    <w:rsid w:val="009F353D"/>
    <w:rsid w:val="009F46AE"/>
    <w:rsid w:val="009F5C81"/>
    <w:rsid w:val="009F71BE"/>
    <w:rsid w:val="00A0079C"/>
    <w:rsid w:val="00A016E1"/>
    <w:rsid w:val="00A0235C"/>
    <w:rsid w:val="00A11F4F"/>
    <w:rsid w:val="00A13F3A"/>
    <w:rsid w:val="00A14F32"/>
    <w:rsid w:val="00A20404"/>
    <w:rsid w:val="00A2069F"/>
    <w:rsid w:val="00A211E1"/>
    <w:rsid w:val="00A233DB"/>
    <w:rsid w:val="00A26890"/>
    <w:rsid w:val="00A30398"/>
    <w:rsid w:val="00A304C8"/>
    <w:rsid w:val="00A309F7"/>
    <w:rsid w:val="00A30C78"/>
    <w:rsid w:val="00A33035"/>
    <w:rsid w:val="00A333DD"/>
    <w:rsid w:val="00A34D2E"/>
    <w:rsid w:val="00A415B0"/>
    <w:rsid w:val="00A41BA0"/>
    <w:rsid w:val="00A430B0"/>
    <w:rsid w:val="00A43D3D"/>
    <w:rsid w:val="00A45730"/>
    <w:rsid w:val="00A45FBD"/>
    <w:rsid w:val="00A47C89"/>
    <w:rsid w:val="00A54113"/>
    <w:rsid w:val="00A542C3"/>
    <w:rsid w:val="00A54749"/>
    <w:rsid w:val="00A54BE5"/>
    <w:rsid w:val="00A553F2"/>
    <w:rsid w:val="00A56460"/>
    <w:rsid w:val="00A606D3"/>
    <w:rsid w:val="00A6089E"/>
    <w:rsid w:val="00A61260"/>
    <w:rsid w:val="00A64E80"/>
    <w:rsid w:val="00A67051"/>
    <w:rsid w:val="00A67D73"/>
    <w:rsid w:val="00A70371"/>
    <w:rsid w:val="00A7179A"/>
    <w:rsid w:val="00A725B6"/>
    <w:rsid w:val="00A72C2B"/>
    <w:rsid w:val="00A73047"/>
    <w:rsid w:val="00A73A28"/>
    <w:rsid w:val="00A73D75"/>
    <w:rsid w:val="00A74DD7"/>
    <w:rsid w:val="00A75592"/>
    <w:rsid w:val="00A80280"/>
    <w:rsid w:val="00A81A33"/>
    <w:rsid w:val="00A8216F"/>
    <w:rsid w:val="00A8279D"/>
    <w:rsid w:val="00A8407D"/>
    <w:rsid w:val="00A86AA6"/>
    <w:rsid w:val="00A86C7A"/>
    <w:rsid w:val="00A877E2"/>
    <w:rsid w:val="00A933F1"/>
    <w:rsid w:val="00A95B33"/>
    <w:rsid w:val="00A960FE"/>
    <w:rsid w:val="00AA5DFA"/>
    <w:rsid w:val="00AA6CE7"/>
    <w:rsid w:val="00AA742A"/>
    <w:rsid w:val="00AB0600"/>
    <w:rsid w:val="00AB1743"/>
    <w:rsid w:val="00AB198F"/>
    <w:rsid w:val="00AB1A91"/>
    <w:rsid w:val="00AB1ACD"/>
    <w:rsid w:val="00AB3B02"/>
    <w:rsid w:val="00AB5DF1"/>
    <w:rsid w:val="00AB703D"/>
    <w:rsid w:val="00AB74C2"/>
    <w:rsid w:val="00AB7FD1"/>
    <w:rsid w:val="00AC0704"/>
    <w:rsid w:val="00AC0D3D"/>
    <w:rsid w:val="00AC2B4B"/>
    <w:rsid w:val="00AC4AB3"/>
    <w:rsid w:val="00AC5DAC"/>
    <w:rsid w:val="00AC764F"/>
    <w:rsid w:val="00AD31F1"/>
    <w:rsid w:val="00AD349B"/>
    <w:rsid w:val="00AE34AF"/>
    <w:rsid w:val="00AE3DA6"/>
    <w:rsid w:val="00AE3DE2"/>
    <w:rsid w:val="00AE3FF3"/>
    <w:rsid w:val="00AE5777"/>
    <w:rsid w:val="00AE73C5"/>
    <w:rsid w:val="00AE7C34"/>
    <w:rsid w:val="00AF159E"/>
    <w:rsid w:val="00AF3CB9"/>
    <w:rsid w:val="00AF449A"/>
    <w:rsid w:val="00AF4D0D"/>
    <w:rsid w:val="00AF53F5"/>
    <w:rsid w:val="00AF5469"/>
    <w:rsid w:val="00B00504"/>
    <w:rsid w:val="00B05909"/>
    <w:rsid w:val="00B062F1"/>
    <w:rsid w:val="00B10233"/>
    <w:rsid w:val="00B129FA"/>
    <w:rsid w:val="00B14EF1"/>
    <w:rsid w:val="00B15A72"/>
    <w:rsid w:val="00B160D5"/>
    <w:rsid w:val="00B20D36"/>
    <w:rsid w:val="00B21EA1"/>
    <w:rsid w:val="00B22929"/>
    <w:rsid w:val="00B2350B"/>
    <w:rsid w:val="00B26804"/>
    <w:rsid w:val="00B30FBA"/>
    <w:rsid w:val="00B31005"/>
    <w:rsid w:val="00B316C1"/>
    <w:rsid w:val="00B32723"/>
    <w:rsid w:val="00B43A76"/>
    <w:rsid w:val="00B46D9C"/>
    <w:rsid w:val="00B473FD"/>
    <w:rsid w:val="00B51DDD"/>
    <w:rsid w:val="00B5461A"/>
    <w:rsid w:val="00B5476E"/>
    <w:rsid w:val="00B56302"/>
    <w:rsid w:val="00B57E61"/>
    <w:rsid w:val="00B603B9"/>
    <w:rsid w:val="00B65059"/>
    <w:rsid w:val="00B66326"/>
    <w:rsid w:val="00B66717"/>
    <w:rsid w:val="00B66B51"/>
    <w:rsid w:val="00B70437"/>
    <w:rsid w:val="00B716EA"/>
    <w:rsid w:val="00B71D39"/>
    <w:rsid w:val="00B72F08"/>
    <w:rsid w:val="00B73E2E"/>
    <w:rsid w:val="00B80D5C"/>
    <w:rsid w:val="00B836B6"/>
    <w:rsid w:val="00B83DC5"/>
    <w:rsid w:val="00B871EC"/>
    <w:rsid w:val="00B90A1A"/>
    <w:rsid w:val="00B90C20"/>
    <w:rsid w:val="00B92E22"/>
    <w:rsid w:val="00B932CE"/>
    <w:rsid w:val="00B9454C"/>
    <w:rsid w:val="00B95AD2"/>
    <w:rsid w:val="00B95C92"/>
    <w:rsid w:val="00B96B82"/>
    <w:rsid w:val="00B971C0"/>
    <w:rsid w:val="00BA0155"/>
    <w:rsid w:val="00BA06BF"/>
    <w:rsid w:val="00BA0CDC"/>
    <w:rsid w:val="00BA0D05"/>
    <w:rsid w:val="00BA5312"/>
    <w:rsid w:val="00BA53DE"/>
    <w:rsid w:val="00BA7D3A"/>
    <w:rsid w:val="00BB05F0"/>
    <w:rsid w:val="00BB6B69"/>
    <w:rsid w:val="00BC1327"/>
    <w:rsid w:val="00BC2305"/>
    <w:rsid w:val="00BC2C46"/>
    <w:rsid w:val="00BC542A"/>
    <w:rsid w:val="00BC557A"/>
    <w:rsid w:val="00BD2725"/>
    <w:rsid w:val="00BD5509"/>
    <w:rsid w:val="00BD57ED"/>
    <w:rsid w:val="00BD6792"/>
    <w:rsid w:val="00BD7801"/>
    <w:rsid w:val="00BD7C30"/>
    <w:rsid w:val="00BE077C"/>
    <w:rsid w:val="00BE0C89"/>
    <w:rsid w:val="00BE4A8E"/>
    <w:rsid w:val="00BE6884"/>
    <w:rsid w:val="00BF038C"/>
    <w:rsid w:val="00BF1470"/>
    <w:rsid w:val="00BF1920"/>
    <w:rsid w:val="00BF1BD3"/>
    <w:rsid w:val="00BF1D89"/>
    <w:rsid w:val="00BF2ABB"/>
    <w:rsid w:val="00BF6400"/>
    <w:rsid w:val="00C02404"/>
    <w:rsid w:val="00C062A8"/>
    <w:rsid w:val="00C076BA"/>
    <w:rsid w:val="00C13455"/>
    <w:rsid w:val="00C1353D"/>
    <w:rsid w:val="00C14B06"/>
    <w:rsid w:val="00C155E2"/>
    <w:rsid w:val="00C15FE1"/>
    <w:rsid w:val="00C16C84"/>
    <w:rsid w:val="00C21F80"/>
    <w:rsid w:val="00C3015A"/>
    <w:rsid w:val="00C3058D"/>
    <w:rsid w:val="00C30C5E"/>
    <w:rsid w:val="00C31810"/>
    <w:rsid w:val="00C349DC"/>
    <w:rsid w:val="00C34C75"/>
    <w:rsid w:val="00C37382"/>
    <w:rsid w:val="00C40D06"/>
    <w:rsid w:val="00C41465"/>
    <w:rsid w:val="00C41BAF"/>
    <w:rsid w:val="00C42EBE"/>
    <w:rsid w:val="00C4353A"/>
    <w:rsid w:val="00C4396A"/>
    <w:rsid w:val="00C43E9A"/>
    <w:rsid w:val="00C50FAD"/>
    <w:rsid w:val="00C52829"/>
    <w:rsid w:val="00C61A78"/>
    <w:rsid w:val="00C629CC"/>
    <w:rsid w:val="00C633F6"/>
    <w:rsid w:val="00C63B45"/>
    <w:rsid w:val="00C64EF1"/>
    <w:rsid w:val="00C653C7"/>
    <w:rsid w:val="00C66844"/>
    <w:rsid w:val="00C66B28"/>
    <w:rsid w:val="00C670B7"/>
    <w:rsid w:val="00C67586"/>
    <w:rsid w:val="00C676A9"/>
    <w:rsid w:val="00C67C4C"/>
    <w:rsid w:val="00C67DE5"/>
    <w:rsid w:val="00C739BF"/>
    <w:rsid w:val="00C75C71"/>
    <w:rsid w:val="00C75DBF"/>
    <w:rsid w:val="00C77242"/>
    <w:rsid w:val="00C8004E"/>
    <w:rsid w:val="00C81483"/>
    <w:rsid w:val="00C83BBF"/>
    <w:rsid w:val="00C85714"/>
    <w:rsid w:val="00C860E3"/>
    <w:rsid w:val="00C8696C"/>
    <w:rsid w:val="00C91CA8"/>
    <w:rsid w:val="00C92921"/>
    <w:rsid w:val="00C930EB"/>
    <w:rsid w:val="00C962CA"/>
    <w:rsid w:val="00C9662C"/>
    <w:rsid w:val="00C97FA3"/>
    <w:rsid w:val="00CA0AB7"/>
    <w:rsid w:val="00CA37EE"/>
    <w:rsid w:val="00CA3BB3"/>
    <w:rsid w:val="00CA6D13"/>
    <w:rsid w:val="00CA7759"/>
    <w:rsid w:val="00CB0D12"/>
    <w:rsid w:val="00CB184B"/>
    <w:rsid w:val="00CB7F1F"/>
    <w:rsid w:val="00CC0700"/>
    <w:rsid w:val="00CC0961"/>
    <w:rsid w:val="00CC3D70"/>
    <w:rsid w:val="00CC3DEB"/>
    <w:rsid w:val="00CC459F"/>
    <w:rsid w:val="00CC544D"/>
    <w:rsid w:val="00CC559A"/>
    <w:rsid w:val="00CC6324"/>
    <w:rsid w:val="00CC7FD7"/>
    <w:rsid w:val="00CD1518"/>
    <w:rsid w:val="00CD2F5C"/>
    <w:rsid w:val="00CD5060"/>
    <w:rsid w:val="00CD5428"/>
    <w:rsid w:val="00CD7114"/>
    <w:rsid w:val="00CD7DD2"/>
    <w:rsid w:val="00CE0978"/>
    <w:rsid w:val="00CE254C"/>
    <w:rsid w:val="00CE2972"/>
    <w:rsid w:val="00CE2DFF"/>
    <w:rsid w:val="00CE4C5E"/>
    <w:rsid w:val="00CE4F26"/>
    <w:rsid w:val="00CE6571"/>
    <w:rsid w:val="00CF2514"/>
    <w:rsid w:val="00CF2BBB"/>
    <w:rsid w:val="00CF3D3D"/>
    <w:rsid w:val="00CF4831"/>
    <w:rsid w:val="00D00FF9"/>
    <w:rsid w:val="00D020A0"/>
    <w:rsid w:val="00D021AD"/>
    <w:rsid w:val="00D02396"/>
    <w:rsid w:val="00D02E11"/>
    <w:rsid w:val="00D04987"/>
    <w:rsid w:val="00D079E9"/>
    <w:rsid w:val="00D10338"/>
    <w:rsid w:val="00D11614"/>
    <w:rsid w:val="00D11AF8"/>
    <w:rsid w:val="00D14BDD"/>
    <w:rsid w:val="00D2142D"/>
    <w:rsid w:val="00D226C7"/>
    <w:rsid w:val="00D22D0F"/>
    <w:rsid w:val="00D2557E"/>
    <w:rsid w:val="00D26C1C"/>
    <w:rsid w:val="00D27D15"/>
    <w:rsid w:val="00D305CA"/>
    <w:rsid w:val="00D328F5"/>
    <w:rsid w:val="00D32D9D"/>
    <w:rsid w:val="00D332DC"/>
    <w:rsid w:val="00D41838"/>
    <w:rsid w:val="00D4185C"/>
    <w:rsid w:val="00D4250C"/>
    <w:rsid w:val="00D458AB"/>
    <w:rsid w:val="00D45F47"/>
    <w:rsid w:val="00D46A1C"/>
    <w:rsid w:val="00D477FF"/>
    <w:rsid w:val="00D515CD"/>
    <w:rsid w:val="00D53053"/>
    <w:rsid w:val="00D53A94"/>
    <w:rsid w:val="00D558DD"/>
    <w:rsid w:val="00D55E6A"/>
    <w:rsid w:val="00D5717E"/>
    <w:rsid w:val="00D57815"/>
    <w:rsid w:val="00D57EF2"/>
    <w:rsid w:val="00D605C1"/>
    <w:rsid w:val="00D6143F"/>
    <w:rsid w:val="00D622DE"/>
    <w:rsid w:val="00D6300D"/>
    <w:rsid w:val="00D64043"/>
    <w:rsid w:val="00D66BCE"/>
    <w:rsid w:val="00D73288"/>
    <w:rsid w:val="00D8036D"/>
    <w:rsid w:val="00D83799"/>
    <w:rsid w:val="00D851FC"/>
    <w:rsid w:val="00D85454"/>
    <w:rsid w:val="00D8597D"/>
    <w:rsid w:val="00D8748A"/>
    <w:rsid w:val="00D914FE"/>
    <w:rsid w:val="00D92D28"/>
    <w:rsid w:val="00D92F62"/>
    <w:rsid w:val="00D9701E"/>
    <w:rsid w:val="00DA031C"/>
    <w:rsid w:val="00DA0341"/>
    <w:rsid w:val="00DA0DC6"/>
    <w:rsid w:val="00DA1171"/>
    <w:rsid w:val="00DA155F"/>
    <w:rsid w:val="00DA439C"/>
    <w:rsid w:val="00DA4810"/>
    <w:rsid w:val="00DA590E"/>
    <w:rsid w:val="00DA68DA"/>
    <w:rsid w:val="00DB4628"/>
    <w:rsid w:val="00DB5E20"/>
    <w:rsid w:val="00DC0A25"/>
    <w:rsid w:val="00DC0BD3"/>
    <w:rsid w:val="00DC102E"/>
    <w:rsid w:val="00DC219D"/>
    <w:rsid w:val="00DC4505"/>
    <w:rsid w:val="00DD2741"/>
    <w:rsid w:val="00DD3AA6"/>
    <w:rsid w:val="00DD4B6D"/>
    <w:rsid w:val="00DD54E8"/>
    <w:rsid w:val="00DD6E5E"/>
    <w:rsid w:val="00DE40E0"/>
    <w:rsid w:val="00DE4530"/>
    <w:rsid w:val="00DF02B2"/>
    <w:rsid w:val="00DF15D8"/>
    <w:rsid w:val="00DF213C"/>
    <w:rsid w:val="00DF2D0B"/>
    <w:rsid w:val="00DF3FE3"/>
    <w:rsid w:val="00DF5611"/>
    <w:rsid w:val="00DF66B9"/>
    <w:rsid w:val="00DF6A41"/>
    <w:rsid w:val="00E01A91"/>
    <w:rsid w:val="00E02040"/>
    <w:rsid w:val="00E061D1"/>
    <w:rsid w:val="00E10698"/>
    <w:rsid w:val="00E1169A"/>
    <w:rsid w:val="00E1515A"/>
    <w:rsid w:val="00E20D78"/>
    <w:rsid w:val="00E20DB1"/>
    <w:rsid w:val="00E22425"/>
    <w:rsid w:val="00E22E2B"/>
    <w:rsid w:val="00E25272"/>
    <w:rsid w:val="00E300F3"/>
    <w:rsid w:val="00E32AFC"/>
    <w:rsid w:val="00E32E29"/>
    <w:rsid w:val="00E3379D"/>
    <w:rsid w:val="00E33ED9"/>
    <w:rsid w:val="00E349FA"/>
    <w:rsid w:val="00E34EAC"/>
    <w:rsid w:val="00E351E2"/>
    <w:rsid w:val="00E36503"/>
    <w:rsid w:val="00E37048"/>
    <w:rsid w:val="00E42D3B"/>
    <w:rsid w:val="00E44C0C"/>
    <w:rsid w:val="00E452C5"/>
    <w:rsid w:val="00E46357"/>
    <w:rsid w:val="00E47998"/>
    <w:rsid w:val="00E508ED"/>
    <w:rsid w:val="00E51906"/>
    <w:rsid w:val="00E53456"/>
    <w:rsid w:val="00E534E5"/>
    <w:rsid w:val="00E55A5C"/>
    <w:rsid w:val="00E62E14"/>
    <w:rsid w:val="00E62F97"/>
    <w:rsid w:val="00E657D4"/>
    <w:rsid w:val="00E6597D"/>
    <w:rsid w:val="00E65C39"/>
    <w:rsid w:val="00E67003"/>
    <w:rsid w:val="00E728DC"/>
    <w:rsid w:val="00E75382"/>
    <w:rsid w:val="00E77A86"/>
    <w:rsid w:val="00E82E28"/>
    <w:rsid w:val="00E8477F"/>
    <w:rsid w:val="00E84F57"/>
    <w:rsid w:val="00E85F2C"/>
    <w:rsid w:val="00E866B9"/>
    <w:rsid w:val="00E96D7E"/>
    <w:rsid w:val="00EA3A2B"/>
    <w:rsid w:val="00EA4722"/>
    <w:rsid w:val="00EA74EE"/>
    <w:rsid w:val="00EB0134"/>
    <w:rsid w:val="00EB0543"/>
    <w:rsid w:val="00EB168A"/>
    <w:rsid w:val="00EB3232"/>
    <w:rsid w:val="00EB603D"/>
    <w:rsid w:val="00EB6871"/>
    <w:rsid w:val="00EC27AE"/>
    <w:rsid w:val="00EC2802"/>
    <w:rsid w:val="00EC2D08"/>
    <w:rsid w:val="00EC3E2A"/>
    <w:rsid w:val="00EC43F2"/>
    <w:rsid w:val="00EC77EF"/>
    <w:rsid w:val="00ED05F2"/>
    <w:rsid w:val="00ED17BE"/>
    <w:rsid w:val="00ED22A0"/>
    <w:rsid w:val="00ED429F"/>
    <w:rsid w:val="00EE1A8C"/>
    <w:rsid w:val="00EE3494"/>
    <w:rsid w:val="00EE51CD"/>
    <w:rsid w:val="00EE6D92"/>
    <w:rsid w:val="00EF079C"/>
    <w:rsid w:val="00EF28AB"/>
    <w:rsid w:val="00EF3D2A"/>
    <w:rsid w:val="00F019F8"/>
    <w:rsid w:val="00F01A7C"/>
    <w:rsid w:val="00F02517"/>
    <w:rsid w:val="00F03971"/>
    <w:rsid w:val="00F05DDB"/>
    <w:rsid w:val="00F06C72"/>
    <w:rsid w:val="00F078EE"/>
    <w:rsid w:val="00F07A60"/>
    <w:rsid w:val="00F10DB5"/>
    <w:rsid w:val="00F12025"/>
    <w:rsid w:val="00F13729"/>
    <w:rsid w:val="00F1684E"/>
    <w:rsid w:val="00F20212"/>
    <w:rsid w:val="00F22422"/>
    <w:rsid w:val="00F2398E"/>
    <w:rsid w:val="00F241DB"/>
    <w:rsid w:val="00F261E6"/>
    <w:rsid w:val="00F264C1"/>
    <w:rsid w:val="00F31D2F"/>
    <w:rsid w:val="00F31EDD"/>
    <w:rsid w:val="00F31F5C"/>
    <w:rsid w:val="00F34066"/>
    <w:rsid w:val="00F35807"/>
    <w:rsid w:val="00F373EA"/>
    <w:rsid w:val="00F40036"/>
    <w:rsid w:val="00F43B2E"/>
    <w:rsid w:val="00F442AC"/>
    <w:rsid w:val="00F4740B"/>
    <w:rsid w:val="00F53EDD"/>
    <w:rsid w:val="00F567C9"/>
    <w:rsid w:val="00F60A47"/>
    <w:rsid w:val="00F616D7"/>
    <w:rsid w:val="00F638C0"/>
    <w:rsid w:val="00F649E8"/>
    <w:rsid w:val="00F71666"/>
    <w:rsid w:val="00F72A6A"/>
    <w:rsid w:val="00F73C9F"/>
    <w:rsid w:val="00F772ED"/>
    <w:rsid w:val="00F80EB2"/>
    <w:rsid w:val="00F841CC"/>
    <w:rsid w:val="00F87342"/>
    <w:rsid w:val="00F901B3"/>
    <w:rsid w:val="00F9249D"/>
    <w:rsid w:val="00F924F9"/>
    <w:rsid w:val="00F94B67"/>
    <w:rsid w:val="00F950E6"/>
    <w:rsid w:val="00F951B6"/>
    <w:rsid w:val="00F955E5"/>
    <w:rsid w:val="00F95A48"/>
    <w:rsid w:val="00F95F28"/>
    <w:rsid w:val="00F97D10"/>
    <w:rsid w:val="00FA212A"/>
    <w:rsid w:val="00FA5027"/>
    <w:rsid w:val="00FA6572"/>
    <w:rsid w:val="00FA732B"/>
    <w:rsid w:val="00FB092B"/>
    <w:rsid w:val="00FB226C"/>
    <w:rsid w:val="00FB25CC"/>
    <w:rsid w:val="00FB27DA"/>
    <w:rsid w:val="00FB30C7"/>
    <w:rsid w:val="00FB698F"/>
    <w:rsid w:val="00FB6E3B"/>
    <w:rsid w:val="00FC0B21"/>
    <w:rsid w:val="00FC1E45"/>
    <w:rsid w:val="00FC2D08"/>
    <w:rsid w:val="00FD11EE"/>
    <w:rsid w:val="00FD2B99"/>
    <w:rsid w:val="00FD2F7A"/>
    <w:rsid w:val="00FD333D"/>
    <w:rsid w:val="00FD355C"/>
    <w:rsid w:val="00FD6805"/>
    <w:rsid w:val="00FD736D"/>
    <w:rsid w:val="00FE0134"/>
    <w:rsid w:val="00FE0CCD"/>
    <w:rsid w:val="00FE4952"/>
    <w:rsid w:val="00FE4DE9"/>
    <w:rsid w:val="00FE66B3"/>
    <w:rsid w:val="00FF063F"/>
    <w:rsid w:val="00FF0A44"/>
    <w:rsid w:val="00FF0C01"/>
    <w:rsid w:val="00FF5731"/>
    <w:rsid w:val="00FF649F"/>
    <w:rsid w:val="00FF6E3A"/>
    <w:rsid w:val="00FF7A08"/>
    <w:rsid w:val="7FF75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50" w:afterLines="50" w:line="480" w:lineRule="exact"/>
      <w:ind w:firstLine="200" w:firstLineChars="200"/>
      <w:jc w:val="both"/>
    </w:pPr>
    <w:rPr>
      <w:rFonts w:ascii="Times New Roman" w:hAnsi="Times New Roman" w:eastAsia="仿宋_GB2312" w:cstheme="minorBidi"/>
      <w:kern w:val="2"/>
      <w:sz w:val="28"/>
      <w:szCs w:val="22"/>
      <w:lang w:val="en-US" w:eastAsia="zh-CN" w:bidi="ar-SA"/>
    </w:rPr>
  </w:style>
  <w:style w:type="paragraph" w:styleId="2">
    <w:name w:val="heading 1"/>
    <w:basedOn w:val="1"/>
    <w:next w:val="1"/>
    <w:link w:val="27"/>
    <w:qFormat/>
    <w:uiPriority w:val="9"/>
    <w:pPr>
      <w:keepNext/>
      <w:keepLines/>
      <w:spacing w:after="120" w:line="240" w:lineRule="auto"/>
      <w:outlineLvl w:val="0"/>
    </w:pPr>
    <w:rPr>
      <w:rFonts w:eastAsia="黑体"/>
      <w:b/>
      <w:bCs/>
      <w:kern w:val="44"/>
      <w:szCs w:val="44"/>
    </w:rPr>
  </w:style>
  <w:style w:type="paragraph" w:styleId="3">
    <w:name w:val="heading 2"/>
    <w:basedOn w:val="1"/>
    <w:next w:val="1"/>
    <w:link w:val="34"/>
    <w:unhideWhenUsed/>
    <w:qFormat/>
    <w:uiPriority w:val="9"/>
    <w:pPr>
      <w:keepNext/>
      <w:keepLines/>
      <w:spacing w:line="312" w:lineRule="auto"/>
      <w:outlineLvl w:val="1"/>
    </w:pPr>
    <w:rPr>
      <w:rFonts w:eastAsia="楷体" w:asciiTheme="majorHAnsi" w:hAnsiTheme="majorHAnsi" w:cstheme="majorBidi"/>
      <w:b/>
      <w:bCs/>
      <w:szCs w:val="32"/>
    </w:rPr>
  </w:style>
  <w:style w:type="paragraph" w:styleId="4">
    <w:name w:val="heading 3"/>
    <w:basedOn w:val="1"/>
    <w:next w:val="1"/>
    <w:link w:val="35"/>
    <w:unhideWhenUsed/>
    <w:qFormat/>
    <w:uiPriority w:val="9"/>
    <w:pPr>
      <w:keepNext/>
      <w:keepLines/>
      <w:spacing w:line="440" w:lineRule="exact"/>
      <w:outlineLvl w:val="2"/>
    </w:pPr>
    <w:rPr>
      <w:b/>
      <w:bCs/>
      <w:szCs w:val="32"/>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41"/>
    <w:semiHidden/>
    <w:unhideWhenUsed/>
    <w:uiPriority w:val="99"/>
    <w:pPr>
      <w:jc w:val="left"/>
    </w:pPr>
  </w:style>
  <w:style w:type="paragraph" w:styleId="6">
    <w:name w:val="Balloon Text"/>
    <w:basedOn w:val="1"/>
    <w:link w:val="29"/>
    <w:semiHidden/>
    <w:unhideWhenUsed/>
    <w:uiPriority w:val="99"/>
    <w:pPr>
      <w:spacing w:line="240" w:lineRule="auto"/>
    </w:pPr>
    <w:rPr>
      <w:sz w:val="18"/>
      <w:szCs w:val="18"/>
    </w:rPr>
  </w:style>
  <w:style w:type="paragraph" w:styleId="7">
    <w:name w:val="footer"/>
    <w:basedOn w:val="1"/>
    <w:link w:val="24"/>
    <w:unhideWhenUsed/>
    <w:uiPriority w:val="99"/>
    <w:pPr>
      <w:tabs>
        <w:tab w:val="center" w:pos="4153"/>
        <w:tab w:val="right" w:pos="8306"/>
      </w:tabs>
      <w:snapToGrid w:val="0"/>
      <w:jc w:val="left"/>
    </w:pPr>
    <w:rPr>
      <w:sz w:val="18"/>
      <w:szCs w:val="18"/>
    </w:rPr>
  </w:style>
  <w:style w:type="paragraph" w:styleId="8">
    <w:name w:val="header"/>
    <w:basedOn w:val="1"/>
    <w:link w:val="23"/>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uiPriority w:val="39"/>
  </w:style>
  <w:style w:type="paragraph" w:styleId="10">
    <w:name w:val="Subtitle"/>
    <w:basedOn w:val="1"/>
    <w:next w:val="1"/>
    <w:link w:val="26"/>
    <w:qFormat/>
    <w:uiPriority w:val="11"/>
    <w:pPr>
      <w:spacing w:line="800" w:lineRule="exact"/>
      <w:ind w:firstLine="0" w:firstLineChars="0"/>
      <w:jc w:val="left"/>
      <w:outlineLvl w:val="1"/>
    </w:pPr>
    <w:rPr>
      <w:rFonts w:eastAsia="黑体" w:asciiTheme="majorHAnsi" w:hAnsiTheme="majorHAnsi" w:cstheme="majorBidi"/>
      <w:b/>
      <w:bCs/>
      <w:kern w:val="28"/>
      <w:sz w:val="48"/>
      <w:szCs w:val="32"/>
    </w:rPr>
  </w:style>
  <w:style w:type="paragraph" w:styleId="11">
    <w:name w:val="footnote text"/>
    <w:basedOn w:val="1"/>
    <w:link w:val="36"/>
    <w:semiHidden/>
    <w:unhideWhenUsed/>
    <w:uiPriority w:val="99"/>
    <w:pPr>
      <w:snapToGrid w:val="0"/>
      <w:spacing w:after="0" w:afterLines="0" w:line="240" w:lineRule="auto"/>
      <w:ind w:firstLine="0" w:firstLineChars="0"/>
      <w:jc w:val="left"/>
    </w:pPr>
    <w:rPr>
      <w:sz w:val="21"/>
      <w:szCs w:val="18"/>
    </w:rPr>
  </w:style>
  <w:style w:type="paragraph" w:styleId="12">
    <w:name w:val="toc 2"/>
    <w:basedOn w:val="1"/>
    <w:next w:val="1"/>
    <w:autoRedefine/>
    <w:unhideWhenUsed/>
    <w:uiPriority w:val="39"/>
    <w:pPr>
      <w:ind w:left="420" w:leftChars="200"/>
    </w:pPr>
  </w:style>
  <w:style w:type="paragraph" w:styleId="13">
    <w:name w:val="Normal (Web)"/>
    <w:basedOn w:val="1"/>
    <w:semiHidden/>
    <w:unhideWhenUsed/>
    <w:uiPriority w:val="99"/>
    <w:pPr>
      <w:widowControl/>
      <w:autoSpaceDE/>
      <w:autoSpaceDN/>
      <w:spacing w:before="100" w:beforeAutospacing="1" w:after="100" w:afterLines="0" w:afterAutospacing="1" w:line="240" w:lineRule="auto"/>
      <w:ind w:firstLine="0" w:firstLineChars="0"/>
      <w:jc w:val="left"/>
    </w:pPr>
    <w:rPr>
      <w:rFonts w:ascii="宋体" w:hAnsi="宋体" w:eastAsia="宋体" w:cs="宋体"/>
      <w:kern w:val="0"/>
      <w:sz w:val="24"/>
      <w:szCs w:val="24"/>
    </w:rPr>
  </w:style>
  <w:style w:type="paragraph" w:styleId="14">
    <w:name w:val="Title"/>
    <w:basedOn w:val="1"/>
    <w:next w:val="1"/>
    <w:link w:val="25"/>
    <w:qFormat/>
    <w:uiPriority w:val="10"/>
    <w:pPr>
      <w:spacing w:before="480"/>
      <w:ind w:firstLine="0" w:firstLineChars="0"/>
      <w:jc w:val="left"/>
      <w:outlineLvl w:val="0"/>
    </w:pPr>
    <w:rPr>
      <w:rFonts w:eastAsia="黑体" w:asciiTheme="majorHAnsi" w:hAnsiTheme="majorHAnsi" w:cstheme="majorBidi"/>
      <w:b/>
      <w:bCs/>
      <w:sz w:val="56"/>
      <w:szCs w:val="32"/>
    </w:rPr>
  </w:style>
  <w:style w:type="paragraph" w:styleId="15">
    <w:name w:val="annotation subject"/>
    <w:basedOn w:val="5"/>
    <w:next w:val="5"/>
    <w:link w:val="42"/>
    <w:semiHidden/>
    <w:unhideWhenUsed/>
    <w:uiPriority w:val="99"/>
    <w:rPr>
      <w:b/>
      <w:bCs/>
    </w:rPr>
  </w:style>
  <w:style w:type="table" w:styleId="17">
    <w:name w:val="Table Grid"/>
    <w:basedOn w:val="1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semiHidden/>
    <w:unhideWhenUsed/>
    <w:uiPriority w:val="99"/>
    <w:rPr>
      <w:color w:val="800080" w:themeColor="followedHyperlink"/>
      <w:u w:val="single"/>
      <w14:textFill>
        <w14:solidFill>
          <w14:schemeClr w14:val="folHlink"/>
        </w14:solidFill>
      </w14:textFill>
    </w:rPr>
  </w:style>
  <w:style w:type="character" w:styleId="20">
    <w:name w:val="Hyperlink"/>
    <w:basedOn w:val="18"/>
    <w:unhideWhenUsed/>
    <w:uiPriority w:val="99"/>
    <w:rPr>
      <w:color w:val="0000FF" w:themeColor="hyperlink"/>
      <w:u w:val="single"/>
      <w14:textFill>
        <w14:solidFill>
          <w14:schemeClr w14:val="hlink"/>
        </w14:solidFill>
      </w14:textFill>
    </w:rPr>
  </w:style>
  <w:style w:type="character" w:styleId="21">
    <w:name w:val="annotation reference"/>
    <w:basedOn w:val="18"/>
    <w:semiHidden/>
    <w:unhideWhenUsed/>
    <w:uiPriority w:val="99"/>
    <w:rPr>
      <w:sz w:val="21"/>
      <w:szCs w:val="21"/>
    </w:rPr>
  </w:style>
  <w:style w:type="character" w:styleId="22">
    <w:name w:val="footnote reference"/>
    <w:basedOn w:val="18"/>
    <w:semiHidden/>
    <w:unhideWhenUsed/>
    <w:uiPriority w:val="99"/>
    <w:rPr>
      <w:vertAlign w:val="superscript"/>
    </w:rPr>
  </w:style>
  <w:style w:type="character" w:customStyle="1" w:styleId="23">
    <w:name w:val="页眉 字符"/>
    <w:basedOn w:val="18"/>
    <w:link w:val="8"/>
    <w:uiPriority w:val="99"/>
    <w:rPr>
      <w:sz w:val="18"/>
      <w:szCs w:val="18"/>
    </w:rPr>
  </w:style>
  <w:style w:type="character" w:customStyle="1" w:styleId="24">
    <w:name w:val="页脚 字符"/>
    <w:basedOn w:val="18"/>
    <w:link w:val="7"/>
    <w:uiPriority w:val="99"/>
    <w:rPr>
      <w:sz w:val="18"/>
      <w:szCs w:val="18"/>
    </w:rPr>
  </w:style>
  <w:style w:type="character" w:customStyle="1" w:styleId="25">
    <w:name w:val="标题 字符"/>
    <w:basedOn w:val="18"/>
    <w:link w:val="14"/>
    <w:uiPriority w:val="10"/>
    <w:rPr>
      <w:rFonts w:eastAsia="黑体" w:asciiTheme="majorHAnsi" w:hAnsiTheme="majorHAnsi" w:cstheme="majorBidi"/>
      <w:b/>
      <w:bCs/>
      <w:sz w:val="56"/>
      <w:szCs w:val="32"/>
    </w:rPr>
  </w:style>
  <w:style w:type="character" w:customStyle="1" w:styleId="26">
    <w:name w:val="副标题 字符"/>
    <w:basedOn w:val="18"/>
    <w:link w:val="10"/>
    <w:uiPriority w:val="11"/>
    <w:rPr>
      <w:rFonts w:eastAsia="黑体" w:asciiTheme="majorHAnsi" w:hAnsiTheme="majorHAnsi" w:cstheme="majorBidi"/>
      <w:b/>
      <w:bCs/>
      <w:kern w:val="28"/>
      <w:sz w:val="48"/>
      <w:szCs w:val="32"/>
    </w:rPr>
  </w:style>
  <w:style w:type="character" w:customStyle="1" w:styleId="27">
    <w:name w:val="标题 1 字符"/>
    <w:basedOn w:val="18"/>
    <w:link w:val="2"/>
    <w:uiPriority w:val="9"/>
    <w:rPr>
      <w:rFonts w:ascii="Times New Roman" w:hAnsi="Times New Roman" w:eastAsia="黑体"/>
      <w:b/>
      <w:bCs/>
      <w:kern w:val="44"/>
      <w:sz w:val="28"/>
      <w:szCs w:val="44"/>
    </w:rPr>
  </w:style>
  <w:style w:type="paragraph" w:customStyle="1" w:styleId="28">
    <w:name w:val="TOC Heading"/>
    <w:basedOn w:val="2"/>
    <w:next w:val="1"/>
    <w:unhideWhenUsed/>
    <w:qFormat/>
    <w:uiPriority w:val="39"/>
    <w:pPr>
      <w:widowControl/>
      <w:spacing w:before="480" w:after="0" w:line="276" w:lineRule="auto"/>
      <w:ind w:firstLine="0" w:firstLineChars="0"/>
      <w:jc w:val="left"/>
      <w:outlineLvl w:val="9"/>
    </w:pPr>
    <w:rPr>
      <w:rFonts w:asciiTheme="majorHAnsi" w:hAnsiTheme="majorHAnsi" w:eastAsiaTheme="majorEastAsia" w:cstheme="majorBidi"/>
      <w:color w:val="376092" w:themeColor="accent1" w:themeShade="BF"/>
      <w:kern w:val="0"/>
      <w:szCs w:val="28"/>
    </w:rPr>
  </w:style>
  <w:style w:type="character" w:customStyle="1" w:styleId="29">
    <w:name w:val="批注框文本 字符"/>
    <w:basedOn w:val="18"/>
    <w:link w:val="6"/>
    <w:semiHidden/>
    <w:uiPriority w:val="99"/>
    <w:rPr>
      <w:rFonts w:ascii="Times New Roman" w:hAnsi="Times New Roman" w:eastAsia="仿宋_GB2312"/>
      <w:sz w:val="18"/>
      <w:szCs w:val="18"/>
    </w:rPr>
  </w:style>
  <w:style w:type="paragraph" w:customStyle="1" w:styleId="30">
    <w:name w:val="CoverBodyText首页正文"/>
    <w:basedOn w:val="1"/>
    <w:link w:val="33"/>
    <w:uiPriority w:val="0"/>
    <w:pPr>
      <w:snapToGrid w:val="0"/>
      <w:spacing w:line="220" w:lineRule="exact"/>
      <w:ind w:firstLine="0" w:firstLineChars="0"/>
    </w:pPr>
    <w:rPr>
      <w:rFonts w:ascii="Calibri" w:hAnsi="Calibri" w:eastAsia="楷体_GB2312" w:cs="黑体"/>
      <w:sz w:val="20"/>
      <w:szCs w:val="20"/>
    </w:rPr>
  </w:style>
  <w:style w:type="paragraph" w:customStyle="1" w:styleId="31">
    <w:name w:val="Chart/Table Title图表头"/>
    <w:next w:val="30"/>
    <w:uiPriority w:val="0"/>
    <w:pPr>
      <w:pBdr>
        <w:bottom w:val="single" w:color="640000" w:sz="4" w:space="1"/>
      </w:pBdr>
      <w:spacing w:after="10" w:afterLines="10" w:line="260" w:lineRule="exact"/>
    </w:pPr>
    <w:rPr>
      <w:rFonts w:ascii="Calibri" w:hAnsi="Calibri" w:eastAsia="楷体_GB2312" w:cs="Times New Roman"/>
      <w:i/>
      <w:iCs/>
      <w:color w:val="640000"/>
      <w:kern w:val="2"/>
      <w:sz w:val="20"/>
      <w:szCs w:val="20"/>
      <w:lang w:val="en-US" w:eastAsia="zh-CN" w:bidi="ar-SA"/>
    </w:rPr>
  </w:style>
  <w:style w:type="paragraph" w:customStyle="1" w:styleId="32">
    <w:name w:val="RPBodySourceLine正文资料来源"/>
    <w:basedOn w:val="1"/>
    <w:next w:val="30"/>
    <w:uiPriority w:val="0"/>
    <w:pPr>
      <w:pBdr>
        <w:top w:val="single" w:color="640000" w:sz="4" w:space="1"/>
      </w:pBdr>
      <w:spacing w:before="10" w:beforeLines="10" w:after="100" w:afterLines="100" w:line="180" w:lineRule="exact"/>
      <w:ind w:firstLine="0" w:firstLineChars="0"/>
    </w:pPr>
    <w:rPr>
      <w:rFonts w:ascii="Calibri" w:hAnsi="Calibri" w:eastAsia="楷体_GB2312" w:cs="黑体"/>
      <w:i/>
      <w:iCs/>
      <w:color w:val="640000"/>
      <w:sz w:val="15"/>
      <w:szCs w:val="15"/>
    </w:rPr>
  </w:style>
  <w:style w:type="character" w:customStyle="1" w:styleId="33">
    <w:name w:val="CoverBodyText首页正文 Char Char"/>
    <w:link w:val="30"/>
    <w:locked/>
    <w:uiPriority w:val="0"/>
    <w:rPr>
      <w:rFonts w:ascii="Calibri" w:hAnsi="Calibri" w:eastAsia="楷体_GB2312" w:cs="黑体"/>
      <w:sz w:val="20"/>
      <w:szCs w:val="20"/>
    </w:rPr>
  </w:style>
  <w:style w:type="character" w:customStyle="1" w:styleId="34">
    <w:name w:val="标题 2 字符"/>
    <w:basedOn w:val="18"/>
    <w:link w:val="3"/>
    <w:uiPriority w:val="9"/>
    <w:rPr>
      <w:rFonts w:eastAsia="楷体" w:asciiTheme="majorHAnsi" w:hAnsiTheme="majorHAnsi" w:cstheme="majorBidi"/>
      <w:b/>
      <w:bCs/>
      <w:sz w:val="28"/>
      <w:szCs w:val="32"/>
    </w:rPr>
  </w:style>
  <w:style w:type="character" w:customStyle="1" w:styleId="35">
    <w:name w:val="标题 3 字符"/>
    <w:basedOn w:val="18"/>
    <w:link w:val="4"/>
    <w:uiPriority w:val="9"/>
    <w:rPr>
      <w:rFonts w:ascii="Times New Roman" w:hAnsi="Times New Roman" w:eastAsia="仿宋_GB2312"/>
      <w:b/>
      <w:bCs/>
      <w:sz w:val="28"/>
      <w:szCs w:val="32"/>
    </w:rPr>
  </w:style>
  <w:style w:type="character" w:customStyle="1" w:styleId="36">
    <w:name w:val="脚注文本 字符"/>
    <w:basedOn w:val="18"/>
    <w:link w:val="11"/>
    <w:semiHidden/>
    <w:uiPriority w:val="99"/>
    <w:rPr>
      <w:rFonts w:ascii="Times New Roman" w:hAnsi="Times New Roman" w:eastAsia="仿宋_GB2312"/>
      <w:szCs w:val="18"/>
    </w:rPr>
  </w:style>
  <w:style w:type="character" w:styleId="37">
    <w:name w:val="Placeholder Text"/>
    <w:basedOn w:val="18"/>
    <w:semiHidden/>
    <w:uiPriority w:val="99"/>
    <w:rPr>
      <w:color w:val="808080"/>
    </w:rPr>
  </w:style>
  <w:style w:type="character" w:customStyle="1" w:styleId="38">
    <w:name w:val="Unresolved Mention"/>
    <w:basedOn w:val="18"/>
    <w:semiHidden/>
    <w:unhideWhenUsed/>
    <w:uiPriority w:val="99"/>
    <w:rPr>
      <w:color w:val="605E5C"/>
      <w:shd w:val="clear" w:color="auto" w:fill="E1DFDD"/>
    </w:rPr>
  </w:style>
  <w:style w:type="table" w:customStyle="1" w:styleId="39">
    <w:name w:val="网格型1"/>
    <w:basedOn w:val="1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List Paragraph"/>
    <w:basedOn w:val="1"/>
    <w:qFormat/>
    <w:uiPriority w:val="34"/>
    <w:pPr>
      <w:ind w:firstLine="420"/>
    </w:pPr>
  </w:style>
  <w:style w:type="character" w:customStyle="1" w:styleId="41">
    <w:name w:val="批注文字 字符"/>
    <w:basedOn w:val="18"/>
    <w:link w:val="5"/>
    <w:semiHidden/>
    <w:uiPriority w:val="99"/>
    <w:rPr>
      <w:rFonts w:ascii="Times New Roman" w:hAnsi="Times New Roman" w:eastAsia="仿宋_GB2312"/>
      <w:sz w:val="28"/>
    </w:rPr>
  </w:style>
  <w:style w:type="character" w:customStyle="1" w:styleId="42">
    <w:name w:val="批注主题 字符"/>
    <w:basedOn w:val="41"/>
    <w:link w:val="15"/>
    <w:semiHidden/>
    <w:uiPriority w:val="99"/>
    <w:rPr>
      <w:rFonts w:ascii="Times New Roman" w:hAnsi="Times New Roman" w:eastAsia="仿宋_GB2312"/>
      <w:b/>
      <w:bCs/>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Users/linwen/Library/Containers/com.kingsoft.wpsoffice.mac/Data/C:\CICC\CICC_WORD_PLUGIN\config\Word\RptTemplate\20251026094132_RS_&#27599;&#21608;&#30740;&#25253;&#31934;&#36873;_CN.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511ADA9103747D4A3E2DF21CCC79917"/>
        <w:style w:val=""/>
        <w:category>
          <w:name w:val="常规"/>
          <w:gallery w:val="placeholder"/>
        </w:category>
        <w:types>
          <w:type w:val="bbPlcHdr"/>
        </w:types>
        <w:behaviors>
          <w:behavior w:val="content"/>
        </w:behaviors>
        <w:description w:val=""/>
        <w:guid w:val="{7FFCAC29-F76A-4D6F-ACEF-ACE10B74D6F5}"/>
      </w:docPartPr>
      <w:docPartBody>
        <w:p w14:paraId="7E2F679B">
          <w:pPr>
            <w:pStyle w:val="5"/>
            <w:rPr>
              <w:rFonts w:hint="eastAsia"/>
            </w:rPr>
          </w:pPr>
          <w:r>
            <w:rPr>
              <w:rStyle w:val="4"/>
              <w:rFonts w:hint="eastAsia"/>
            </w:rPr>
            <w:t>单击或点击此处输入文字。</w:t>
          </w:r>
        </w:p>
      </w:docPartBody>
    </w:docPart>
    <w:docPart>
      <w:docPartPr>
        <w:name w:val="2EB0AD8CB8794FD496492273A82A5B45"/>
        <w:style w:val=""/>
        <w:category>
          <w:name w:val="常规"/>
          <w:gallery w:val="placeholder"/>
        </w:category>
        <w:types>
          <w:type w:val="bbPlcHdr"/>
        </w:types>
        <w:behaviors>
          <w:behavior w:val="content"/>
        </w:behaviors>
        <w:description w:val=""/>
        <w:guid w:val="{692AEE4E-127B-440E-ACB1-FDE39D293DF2}"/>
      </w:docPartPr>
      <w:docPartBody>
        <w:p w14:paraId="35907930">
          <w:pPr>
            <w:pStyle w:val="6"/>
            <w:rPr>
              <w:rFonts w:hint="eastAsia"/>
            </w:rPr>
          </w:pPr>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EAB"/>
    <w:rsid w:val="000217E0"/>
    <w:rsid w:val="00031487"/>
    <w:rsid w:val="00050EAB"/>
    <w:rsid w:val="00063779"/>
    <w:rsid w:val="00076AB5"/>
    <w:rsid w:val="000915EB"/>
    <w:rsid w:val="00093268"/>
    <w:rsid w:val="000A4A4B"/>
    <w:rsid w:val="000C35B3"/>
    <w:rsid w:val="001376A9"/>
    <w:rsid w:val="001B3B41"/>
    <w:rsid w:val="001C2322"/>
    <w:rsid w:val="00261B10"/>
    <w:rsid w:val="00283BE7"/>
    <w:rsid w:val="002D148F"/>
    <w:rsid w:val="002E2606"/>
    <w:rsid w:val="002F5BD5"/>
    <w:rsid w:val="003422BB"/>
    <w:rsid w:val="003732F1"/>
    <w:rsid w:val="00385291"/>
    <w:rsid w:val="003A5D4E"/>
    <w:rsid w:val="003A63FA"/>
    <w:rsid w:val="003C61A9"/>
    <w:rsid w:val="003C6A30"/>
    <w:rsid w:val="003C70DF"/>
    <w:rsid w:val="003E1A7C"/>
    <w:rsid w:val="00492C65"/>
    <w:rsid w:val="004A6F73"/>
    <w:rsid w:val="004E72A8"/>
    <w:rsid w:val="005229FF"/>
    <w:rsid w:val="00537D82"/>
    <w:rsid w:val="005509C5"/>
    <w:rsid w:val="005556BA"/>
    <w:rsid w:val="0058320C"/>
    <w:rsid w:val="00583484"/>
    <w:rsid w:val="0058707F"/>
    <w:rsid w:val="00595D40"/>
    <w:rsid w:val="005A643C"/>
    <w:rsid w:val="005B7F87"/>
    <w:rsid w:val="006007B3"/>
    <w:rsid w:val="00607C3B"/>
    <w:rsid w:val="006161A9"/>
    <w:rsid w:val="0062335D"/>
    <w:rsid w:val="006B62CC"/>
    <w:rsid w:val="0073109F"/>
    <w:rsid w:val="0073641B"/>
    <w:rsid w:val="00824D19"/>
    <w:rsid w:val="008448DD"/>
    <w:rsid w:val="008478B3"/>
    <w:rsid w:val="008741B3"/>
    <w:rsid w:val="008816C9"/>
    <w:rsid w:val="008B58FD"/>
    <w:rsid w:val="009030A3"/>
    <w:rsid w:val="00974465"/>
    <w:rsid w:val="00976894"/>
    <w:rsid w:val="009B739F"/>
    <w:rsid w:val="00A1211A"/>
    <w:rsid w:val="00A25E5A"/>
    <w:rsid w:val="00A30C78"/>
    <w:rsid w:val="00A40D72"/>
    <w:rsid w:val="00A62A8E"/>
    <w:rsid w:val="00A954D6"/>
    <w:rsid w:val="00AA0D78"/>
    <w:rsid w:val="00AA4EED"/>
    <w:rsid w:val="00AC1109"/>
    <w:rsid w:val="00AF444B"/>
    <w:rsid w:val="00B30294"/>
    <w:rsid w:val="00B57002"/>
    <w:rsid w:val="00B87F3F"/>
    <w:rsid w:val="00BC5B3E"/>
    <w:rsid w:val="00C031A6"/>
    <w:rsid w:val="00C0700A"/>
    <w:rsid w:val="00C91233"/>
    <w:rsid w:val="00D53F7C"/>
    <w:rsid w:val="00DB42CE"/>
    <w:rsid w:val="00DE74CC"/>
    <w:rsid w:val="00E8189A"/>
    <w:rsid w:val="00E8477F"/>
    <w:rsid w:val="00EA549D"/>
    <w:rsid w:val="00EA6065"/>
    <w:rsid w:val="00EC2D08"/>
    <w:rsid w:val="00EC6781"/>
    <w:rsid w:val="00EC71DB"/>
    <w:rsid w:val="00EE581A"/>
    <w:rsid w:val="00EE6619"/>
    <w:rsid w:val="00EF43DF"/>
    <w:rsid w:val="00F0779A"/>
    <w:rsid w:val="00F53001"/>
    <w:rsid w:val="00F84B3E"/>
    <w:rsid w:val="00FA4A5F"/>
    <w:rsid w:val="00FD5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style>
  <w:style w:type="paragraph" w:customStyle="1" w:styleId="5">
    <w:name w:val="6511ADA9103747D4A3E2DF21CCC79917"/>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2EB0AD8CB8794FD496492273A82A5B45"/>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C625CE-B3FE-4A34-8607-5999F497957F}">
  <ds:schemaRefs/>
</ds:datastoreItem>
</file>

<file path=docProps/app.xml><?xml version="1.0" encoding="utf-8"?>
<Properties xmlns="http://schemas.openxmlformats.org/officeDocument/2006/extended-properties" xmlns:vt="http://schemas.openxmlformats.org/officeDocument/2006/docPropsVTypes">
  <Template>20251026094132_RS_每周研报精选_CN</Template>
  <Pages>12</Pages>
  <Words>1200</Words>
  <Characters>6846</Characters>
  <Lines>57</Lines>
  <Paragraphs>16</Paragraphs>
  <TotalTime>82</TotalTime>
  <ScaleCrop>false</ScaleCrop>
  <LinksUpToDate>false</LinksUpToDate>
  <CharactersWithSpaces>8030</CharactersWithSpaces>
  <Application>WPS Office_12.1.22522.22522_F1E327BC-269C-435d-A152-05C5408002CA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2026-02-08T11:25:00Z</dcterms:created>
  <dc:creator>Manwei Wu (CGI)</dc:creator>
  <cp:lastModifiedBy>林雯(2023011625)</cp:lastModifiedBy>
  <cp:lastPrinted>2026-02-06T18:16:00Z</cp:lastPrinted>
  <dcterms:modified xsi:type="dcterms:W3CDTF">2026-03-07T19:52:02Z</dcterms:modified>
  <dc:title>研报精选</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D_Report_ID">
    <vt:lpwstr>21111</vt:lpwstr>
  </property>
  <property fmtid="{D5CDD505-2E9C-101B-9397-08002B2CF9AE}" pid="3" name="BD_Template_ID">
    <vt:lpwstr>10000050</vt:lpwstr>
  </property>
  <property fmtid="{D5CDD505-2E9C-101B-9397-08002B2CF9AE}" pid="4" name="BD_Template_Name">
    <vt:lpwstr>每周研报精选</vt:lpwstr>
  </property>
  <property fmtid="{D5CDD505-2E9C-101B-9397-08002B2CF9AE}" pid="5" name="BD_RMSTemplate_ID">
    <vt:lpwstr>681</vt:lpwstr>
  </property>
  <property fmtid="{D5CDD505-2E9C-101B-9397-08002B2CF9AE}" pid="6" name="BD_Report_Language">
    <vt:lpwstr>CN</vt:lpwstr>
  </property>
  <property fmtid="{D5CDD505-2E9C-101B-9397-08002B2CF9AE}" pid="7" name="StaffID_Value">
    <vt:lpwstr>88888;</vt:lpwstr>
  </property>
  <property fmtid="{D5CDD505-2E9C-101B-9397-08002B2CF9AE}" pid="8" name="StaffID_DisplayName">
    <vt:lpwstr>中金公司研究部(Hao.Wei@cicc.com.cn);</vt:lpwstr>
  </property>
  <property fmtid="{D5CDD505-2E9C-101B-9397-08002B2CF9AE}" pid="9" name="BD_Report_Type_ZDY">
    <vt:lpwstr>117</vt:lpwstr>
  </property>
  <property fmtid="{D5CDD505-2E9C-101B-9397-08002B2CF9AE}" pid="10" name="BD_Is_Protection">
    <vt:lpwstr>1</vt:lpwstr>
  </property>
  <property fmtid="{D5CDD505-2E9C-101B-9397-08002B2CF9AE}" pid="11" name="InvolveCompany_Value">
    <vt:lpwstr/>
  </property>
  <property fmtid="{D5CDD505-2E9C-101B-9397-08002B2CF9AE}" pid="12" name="BD_Version_ID">
    <vt:lpwstr>013</vt:lpwstr>
  </property>
  <property fmtid="{D5CDD505-2E9C-101B-9397-08002B2CF9AE}" pid="13" name="BD_Template_ParentID">
    <vt:lpwstr>10000050</vt:lpwstr>
  </property>
  <property fmtid="{D5CDD505-2E9C-101B-9397-08002B2CF9AE}" pid="14" name="BD_Template_ParentName">
    <vt:lpwstr>其他</vt:lpwstr>
  </property>
  <property fmtid="{D5CDD505-2E9C-101B-9397-08002B2CF9AE}" pid="15" name="BD_Template_DownloadTime">
    <vt:lpwstr>2025/10/26 9:41:33</vt:lpwstr>
  </property>
  <property fmtid="{D5CDD505-2E9C-101B-9397-08002B2CF9AE}" pid="16" name="BD_File_Type">
    <vt:lpwstr>1</vt:lpwstr>
  </property>
  <property fmtid="{D5CDD505-2E9C-101B-9397-08002B2CF9AE}" pid="17" name="BD_Doc_Temp_ID">
    <vt:lpwstr>8f7d67e6-fbe4-42c0-945a-89775d009ce3</vt:lpwstr>
  </property>
  <property fmtid="{D5CDD505-2E9C-101B-9397-08002B2CF9AE}" pid="18" name="AI_DATETICKS">
    <vt:lpwstr>639055403361781881</vt:lpwstr>
  </property>
  <property fmtid="{D5CDD505-2E9C-101B-9397-08002B2CF9AE}" pid="19" name="AICheck_SemanticGrammarResult">
    <vt:lpwstr>[{"ErrorText":"沃什冲击","Reason":"将沃什改为沃尔克"},{"ErrorText":"当黄金超过5500","Reason":"将5500改为5500元/克或5500美元/盎司"},{"ErrorText":"服务宏观经济","Reason":"将服务改为服务于"},{"ErrorText":"高估值意味脆弱性","Reason":"将意味改为意味着"},{"ErrorText":"沃什冲击","Reason":"将沃什改为沃尔什"},{"ErrorText":"确切的讲","R</vt:lpwstr>
  </property>
  <property fmtid="{D5CDD505-2E9C-101B-9397-08002B2CF9AE}" pid="20" name="AICheck_SemanticGrammarResult#2">
    <vt:lpwstr>eason":"将讲改为说"}]</vt:lpwstr>
  </property>
  <property fmtid="{D5CDD505-2E9C-101B-9397-08002B2CF9AE}" pid="21" name="AICheck_DataConsistentResult">
    <vt:lpwstr>数据一致性校验通过，无异常项。</vt:lpwstr>
  </property>
  <property fmtid="{D5CDD505-2E9C-101B-9397-08002B2CF9AE}" pid="22" name="ExistChartFormNonPlugin">
    <vt:lpwstr>0</vt:lpwstr>
  </property>
  <property fmtid="{D5CDD505-2E9C-101B-9397-08002B2CF9AE}" pid="23" name="file_version">
    <vt:lpwstr>1.0</vt:lpwstr>
  </property>
  <property fmtid="{D5CDD505-2E9C-101B-9397-08002B2CF9AE}" pid="24" name="RMS_Report_ID">
    <vt:lpwstr>1211620</vt:lpwstr>
  </property>
  <property fmtid="{D5CDD505-2E9C-101B-9397-08002B2CF9AE}" pid="25" name="BDCONTENTCONTROL_AUTO_SAVE_ZJTitle">
    <vt:lpwstr>每周研报精选</vt:lpwstr>
  </property>
  <property fmtid="{D5CDD505-2E9C-101B-9397-08002B2CF9AE}" pid="26" name="LastestSave_Time">
    <vt:lpwstr>2026/2/12 10:59:43</vt:lpwstr>
  </property>
  <property fmtid="{D5CDD505-2E9C-101B-9397-08002B2CF9AE}" pid="27" name="LastestSave_PluginVersion">
    <vt:lpwstr>25.8</vt:lpwstr>
  </property>
  <property fmtid="{D5CDD505-2E9C-101B-9397-08002B2CF9AE}" pid="28" name="LastestSave_MACAddress">
    <vt:lpwstr>00FFE576BB77</vt:lpwstr>
  </property>
  <property fmtid="{D5CDD505-2E9C-101B-9397-08002B2CF9AE}" pid="29" name="BD_Revisions_Count">
    <vt:lpwstr>0</vt:lpwstr>
  </property>
  <property fmtid="{D5CDD505-2E9C-101B-9397-08002B2CF9AE}" pid="30" name="BD_IsTrackRevisions">
    <vt:lpwstr>0</vt:lpwstr>
  </property>
  <property fmtid="{D5CDD505-2E9C-101B-9397-08002B2CF9AE}" pid="31" name="BD_Word_FileSize">
    <vt:lpwstr>250506</vt:lpwstr>
  </property>
  <property fmtid="{D5CDD505-2E9C-101B-9397-08002B2CF9AE}" pid="32" name="BD_WORD_Version">
    <vt:lpwstr>16.0.14131.20360</vt:lpwstr>
  </property>
  <property fmtid="{D5CDD505-2E9C-101B-9397-08002B2CF9AE}" pid="33" name="BDCONTENTCONTROL_AUTO_SAVE_SubTitle">
    <vt:lpwstr>第259期</vt:lpwstr>
  </property>
  <property fmtid="{D5CDD505-2E9C-101B-9397-08002B2CF9AE}" pid="34" name="BD_Report_Pages">
    <vt:lpwstr>24</vt:lpwstr>
  </property>
  <property fmtid="{D5CDD505-2E9C-101B-9397-08002B2CF9AE}" pid="35" name="BD_Report_Characters">
    <vt:lpwstr>19829</vt:lpwstr>
  </property>
  <property fmtid="{D5CDD505-2E9C-101B-9397-08002B2CF9AE}" pid="36" name="BDCONTENTCONTROL_Summary">
    <vt:lpwstr>宏观专栏_x000d_关于资本账户的若干迷思_x000d_报告认为，对资本账户开放的担忧部分源于对资本流动、汇率形成机制以及相关政策工具的认知偏差。在全球货币秩序重构的战略窗口期，进一步推进资本账户开放的现实条件正趋于成熟，更开放的资本账户对于中国从经济大国迈向金融与货币强国有重要意义。_x000d_另眼看消费_x000d_报告认为，判断消费率高低，除了国际横向比较，还要与本国的供给能力比较。部分由于技术进步提速，我国供给能力得到提升，这也意味着中国的潜在增长得到支撑。_x000d_专题聚焦_x000d_非农企稳，降息时点或将推迟_x000d_美国1月非农就业数据超预期，失业率回落。报告</vt:lpwstr>
  </property>
  <property fmtid="{D5CDD505-2E9C-101B-9397-08002B2CF9AE}" pid="37" name="BDCONTENTCONTROL_Summary#2">
    <vt:lpwstr>认为，美国劳动力市场存在阶段性企稳的可能性，但难言强劲。对货币政策而言，短期内降息的必要性进一步下降，降息时点或将推迟。_x000d_回调到位了吗？_x000d_报告认为，2026开年以来，受流动性收紧、特色结构拖累等影响，港股整体跑输。后市前景或取决于三个维度：信用周期决定指数空间，产业趋势决定结构强弱，流动性则会放大波动。</vt:lpwstr>
  </property>
  <property fmtid="{D5CDD505-2E9C-101B-9397-08002B2CF9AE}" pid="38" name="BD_CompareCompanyModel">
    <vt:lpwstr/>
  </property>
  <property fmtid="{D5CDD505-2E9C-101B-9397-08002B2CF9AE}" pid="39" name="FootnoteUrls_Json">
    <vt:lpwstr>[{"Page":2,"Url":"https://www.hoover.org/research/inflation-choice-kevin-warsh-fixing-federal-reserve"},{"Page":10,"Url":"https://www.research.cicc.com/zh_CN/report?id=380359&amp;entrance_source=Analyst-ReportList"},{"Page":11,"Url":"https://www.research.cicc</vt:lpwstr>
  </property>
  <property fmtid="{D5CDD505-2E9C-101B-9397-08002B2CF9AE}" pid="40" name="FootnoteUrls_Json#2">
    <vt:lpwstr>.com/zh_CN/report?id=382619&amp;entrance_source=Analyst-ReportList"},{"Page":12,"Url":"https://www.research.cicc.com/zh_CN/report?id=376567&amp;entrance_source=ReportList"},{"Page":13,"Url":"https://www.gd.gov.cn/gdywdt/zwzt/fjsww/zwsww/jcbs/content/post_4851133.</vt:lpwstr>
  </property>
  <property fmtid="{D5CDD505-2E9C-101B-9397-08002B2CF9AE}" pid="41" name="FootnoteUrls_Json#3">
    <vt:lpwstr>html"},{"Page":13,"Url":"https://www.xhby.net/content/s69818c84e4b09e8284a37898.html"},{"Page":13,"Url":"https://www.beijing.gov.cn/gongkai/jihua/zfgzbg/202602/t20260202_4483941.html"},{"Page":13,"Url":"https://www.cls.cn/detail/2278486"},{"Page":13,"Url"</vt:lpwstr>
  </property>
  <property fmtid="{D5CDD505-2E9C-101B-9397-08002B2CF9AE}" pid="42" name="FootnoteUrls_Json#4">
    <vt:lpwstr>:"http://www.shandong.gov.cn/art/2026/2/1/art_305164_10358936.html"},{"Page":13,"Url":"https://www.zj.gov.cn/col/col1229019379/art/2026/art_dc38ffc48b3f449a8fefaa1a2349c9b8.html"},{"Page":13,"Url":"https://fgw.henan.gov.cn/2026/02-03/3319580.html"},{"Page</vt:lpwstr>
  </property>
  <property fmtid="{D5CDD505-2E9C-101B-9397-08002B2CF9AE}" pid="43" name="FootnoteUrls_Json#5">
    <vt:lpwstr>":14,"Url":"https://www.cq.gov.cn/ywdt/jrcq/202602/t20260203_15374376.html"},{"Page":14,"Url":"https://mzt.guizhou.gov.cn/xwzx/mzyw/202602/t20260202_89361981.html"},{"Page":14,"Url":"https://www.tj.gov.cn/sy/ztzl/ztlbone/2026ntjlh/zfgzbg/202602/t20260203_</vt:lpwstr>
  </property>
  <property fmtid="{D5CDD505-2E9C-101B-9397-08002B2CF9AE}" pid="44" name="FootnoteUrls_Json#6">
    <vt:lpwstr>7237977.html"},{"Page":14,"Url":"https://www.ln.gov.cn/web/zwgkx/zfgzbg/szfgzbg/2026020108425256544/index.shtml"},{"Page":14,"Url":"http://yn.people.com.cn/n2/2026/0203/c378439-41491251.html"},{"Page":14,"Url":"https://www.gansu.gov.cn/gsszf/gsyw/202602/1</vt:lpwstr>
  </property>
  <property fmtid="{D5CDD505-2E9C-101B-9397-08002B2CF9AE}" pid="45" name="FootnoteUrls_Json#7">
    <vt:lpwstr>74279543.shtml"},{"Page":15,"Url":"https://www.shaanxi.gov.cn/zfxxgk/zfgzbg/szfgzbg/202602/t20260202_3609862.html"},{"Page":15,"Url":"http://www.qinghai.gov.cn/zwgk/system/2026/01/31/030092049.shtml"},{"Page":15,"Url":"https://zrzy.hebei.gov.cn/heb/xinwen</vt:lpwstr>
  </property>
  <property fmtid="{D5CDD505-2E9C-101B-9397-08002B2CF9AE}" pid="46" name="FootnoteUrls_Json#8">
    <vt:lpwstr>/bsyw/szfxw/101215756960093192192.html"},{"Page":15,"Url":"https://www.hainan.gov.cn/hainan/szfgzbg/202602/1e6254a0a84f4ca990bdcf37948c8496.shtml"},{"Page":15,"Url":"http://www.jlrd.gov.cn/xwzx/rdyw/202601/t20260130_9411392.html"},{"Page":16,"Url":"https:</vt:lpwstr>
  </property>
  <property fmtid="{D5CDD505-2E9C-101B-9397-08002B2CF9AE}" pid="47" name="FootnoteUrls_Json#9">
    <vt:lpwstr>//www.research.cicc.com/zh_CN/report?id=380069&amp;entrance_source=ReportList"},{"Page":17,"Url":"https://www.research.cicc.com/zh_CN/report?id=383330&amp;entrance_source=ReportList"},{"Page":19,"Url":"https://www.spglobal.com/ratings/en/regulatory/article/-/view</vt:lpwstr>
  </property>
  <property fmtid="{D5CDD505-2E9C-101B-9397-08002B2CF9AE}" pid="48" name="FootnoteUrls_Json#10">
    <vt:lpwstr>/sourceId/10221157"},{"Page":19,"Url":"https://www.moodys.com/research/Rating-Methodology-Sovereigns-Rating-Methodology--PBC_1346995#1c1be3cd43b6dee8e1fd612c002d7ba0"}]</vt:lpwstr>
  </property>
  <property fmtid="{D5CDD505-2E9C-101B-9397-08002B2CF9AE}" pid="49" name="BD_Word_Protection_Status">
    <vt:lpwstr>1</vt:lpwstr>
  </property>
  <property fmtid="{D5CDD505-2E9C-101B-9397-08002B2CF9AE}" pid="50" name="BD_Word_Remind_Lock">
    <vt:lpwstr>1</vt:lpwstr>
  </property>
  <property fmtid="{D5CDD505-2E9C-101B-9397-08002B2CF9AE}" pid="51" name="KSOProductBuildVer">
    <vt:lpwstr>2052-12.1.22522.22522</vt:lpwstr>
  </property>
  <property fmtid="{D5CDD505-2E9C-101B-9397-08002B2CF9AE}" pid="52" name="ICV">
    <vt:lpwstr>2F55BA8621D820C26211AC696D294DCF_42</vt:lpwstr>
  </property>
</Properties>
</file>