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846" w:rsidRPr="00E64846" w:rsidRDefault="00E64846" w:rsidP="00687FA9">
      <w:pPr>
        <w:pStyle w:val="BodyText"/>
        <w:spacing w:after="0" w:line="240" w:lineRule="auto"/>
        <w:rPr>
          <w:rFonts w:ascii="Arial" w:hAnsi="Arial" w:cs="Arial"/>
          <w:b/>
          <w:color w:val="FF0000"/>
          <w:sz w:val="34"/>
          <w:szCs w:val="34"/>
        </w:rPr>
      </w:pPr>
      <w:r w:rsidRPr="00E64846">
        <w:rPr>
          <w:rFonts w:ascii="Arial" w:hAnsi="Arial" w:cs="Arial"/>
          <w:b/>
          <w:color w:val="FF0000"/>
          <w:sz w:val="34"/>
          <w:szCs w:val="34"/>
        </w:rPr>
        <w:t>TEST 1</w:t>
      </w:r>
    </w:p>
    <w:p w:rsidR="00E64846" w:rsidRDefault="00E64846" w:rsidP="00687FA9">
      <w:pPr>
        <w:pStyle w:val="BodyText"/>
        <w:spacing w:after="0" w:line="240" w:lineRule="auto"/>
        <w:rPr>
          <w:rFonts w:ascii="Arial" w:hAnsi="Arial" w:cs="Arial"/>
          <w:b/>
          <w:color w:val="00B050"/>
        </w:rPr>
      </w:pPr>
    </w:p>
    <w:p w:rsidR="00687FA9" w:rsidRPr="00687FA9" w:rsidRDefault="00687FA9" w:rsidP="00687FA9">
      <w:pPr>
        <w:pStyle w:val="BodyText"/>
        <w:spacing w:after="0" w:line="240" w:lineRule="auto"/>
        <w:rPr>
          <w:rFonts w:ascii="Arial" w:hAnsi="Arial" w:cs="Arial"/>
          <w:b/>
          <w:color w:val="00B050"/>
        </w:rPr>
      </w:pPr>
      <w:r w:rsidRPr="00687FA9">
        <w:rPr>
          <w:rFonts w:ascii="Arial" w:hAnsi="Arial" w:cs="Arial"/>
          <w:b/>
          <w:color w:val="00B050"/>
        </w:rPr>
        <w:t>INDICATIONS</w:t>
      </w:r>
    </w:p>
    <w:p w:rsidR="00687FA9" w:rsidRPr="00687FA9" w:rsidRDefault="00687FA9" w:rsidP="00687FA9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="Batang" w:hAnsi="Arial" w:cs="Arial"/>
          <w:color w:val="000000"/>
          <w:szCs w:val="20"/>
        </w:rPr>
      </w:pPr>
      <w:proofErr w:type="spellStart"/>
      <w:r w:rsidRPr="00687FA9">
        <w:rPr>
          <w:rFonts w:ascii="Arial" w:eastAsia="Batang" w:hAnsi="Arial" w:cs="Arial"/>
          <w:color w:val="000000"/>
          <w:szCs w:val="20"/>
        </w:rPr>
        <w:t>Prolia</w:t>
      </w:r>
      <w:proofErr w:type="spellEnd"/>
      <w:r w:rsidRPr="00687FA9">
        <w:rPr>
          <w:rFonts w:ascii="Arial" w:eastAsia="Batang" w:hAnsi="Arial" w:cs="Arial"/>
          <w:color w:val="000000"/>
          <w:szCs w:val="20"/>
          <w:vertAlign w:val="superscript"/>
        </w:rPr>
        <w:t>®</w:t>
      </w:r>
      <w:r w:rsidRPr="00687FA9">
        <w:rPr>
          <w:rFonts w:ascii="Arial" w:eastAsia="Batang" w:hAnsi="Arial" w:cs="Arial"/>
          <w:color w:val="000000"/>
          <w:szCs w:val="20"/>
        </w:rPr>
        <w:t xml:space="preserve"> is indicated for the treatment of postmenopausal women with osteoporosis at high risk for fracture, defined as a history of osteoporotic fracture, or multiple risk factors for fracture; or patients who have failed or are intolerant to other available osteoporosis therapy. In postmenopausal women with osteoporosis, </w:t>
      </w:r>
      <w:proofErr w:type="spellStart"/>
      <w:r w:rsidRPr="00687FA9">
        <w:rPr>
          <w:rFonts w:ascii="Arial" w:eastAsia="Batang" w:hAnsi="Arial" w:cs="Arial"/>
          <w:color w:val="000000"/>
          <w:szCs w:val="20"/>
        </w:rPr>
        <w:t>Prolia</w:t>
      </w:r>
      <w:proofErr w:type="spellEnd"/>
      <w:r w:rsidRPr="00687FA9">
        <w:rPr>
          <w:rFonts w:ascii="Arial" w:eastAsia="Batang" w:hAnsi="Arial" w:cs="Arial"/>
          <w:color w:val="000000"/>
          <w:szCs w:val="20"/>
          <w:vertAlign w:val="superscript"/>
        </w:rPr>
        <w:t>®</w:t>
      </w:r>
      <w:r w:rsidRPr="00687FA9">
        <w:rPr>
          <w:rFonts w:ascii="Arial" w:eastAsia="Batang" w:hAnsi="Arial" w:cs="Arial"/>
          <w:color w:val="000000"/>
          <w:szCs w:val="20"/>
        </w:rPr>
        <w:t xml:space="preserve"> reduces the incidence of vertebral, </w:t>
      </w:r>
      <w:proofErr w:type="spellStart"/>
      <w:r w:rsidRPr="00687FA9">
        <w:rPr>
          <w:rFonts w:ascii="Arial" w:eastAsia="Batang" w:hAnsi="Arial" w:cs="Arial"/>
          <w:color w:val="000000"/>
          <w:szCs w:val="20"/>
        </w:rPr>
        <w:t>nonvertebral</w:t>
      </w:r>
      <w:proofErr w:type="spellEnd"/>
      <w:r w:rsidRPr="00687FA9">
        <w:rPr>
          <w:rFonts w:ascii="Arial" w:eastAsia="Batang" w:hAnsi="Arial" w:cs="Arial"/>
          <w:color w:val="000000"/>
          <w:szCs w:val="20"/>
        </w:rPr>
        <w:t xml:space="preserve">, and hip fractures. </w:t>
      </w:r>
    </w:p>
    <w:p w:rsidR="00687FA9" w:rsidRPr="00687FA9" w:rsidRDefault="00687FA9" w:rsidP="00687FA9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="Batang" w:hAnsi="Arial" w:cs="Arial"/>
          <w:color w:val="000000"/>
          <w:szCs w:val="20"/>
        </w:rPr>
      </w:pPr>
    </w:p>
    <w:p w:rsidR="00687FA9" w:rsidRPr="00687FA9" w:rsidRDefault="00687FA9" w:rsidP="00687FA9">
      <w:pPr>
        <w:pStyle w:val="Default"/>
        <w:rPr>
          <w:rFonts w:ascii="Arial" w:hAnsi="Arial" w:cs="Arial"/>
          <w:sz w:val="20"/>
          <w:szCs w:val="20"/>
        </w:rPr>
      </w:pPr>
      <w:proofErr w:type="spellStart"/>
      <w:r w:rsidRPr="00687FA9">
        <w:rPr>
          <w:rFonts w:ascii="Arial" w:eastAsia="Batang" w:hAnsi="Arial" w:cs="Arial"/>
          <w:sz w:val="20"/>
          <w:szCs w:val="20"/>
        </w:rPr>
        <w:t>Prolia</w:t>
      </w:r>
      <w:proofErr w:type="spellEnd"/>
      <w:r w:rsidRPr="00687FA9">
        <w:rPr>
          <w:rFonts w:ascii="Arial" w:eastAsia="Batang" w:hAnsi="Arial" w:cs="Arial"/>
          <w:sz w:val="20"/>
          <w:szCs w:val="20"/>
          <w:vertAlign w:val="superscript"/>
        </w:rPr>
        <w:t>®</w:t>
      </w:r>
      <w:r w:rsidRPr="00687FA9">
        <w:rPr>
          <w:rFonts w:ascii="Arial" w:eastAsia="Batang" w:hAnsi="Arial" w:cs="Arial"/>
          <w:sz w:val="20"/>
          <w:szCs w:val="20"/>
        </w:rPr>
        <w:t xml:space="preserve"> is indicated for treatment to increase bone mass in men with osteoporosis at high risk for fracture, defined as a history of osteoporotic fracture, or multiple risk factors </w:t>
      </w:r>
      <w:r w:rsidRPr="00687FA9">
        <w:rPr>
          <w:rFonts w:ascii="Arial" w:hAnsi="Arial" w:cs="Arial"/>
          <w:sz w:val="20"/>
          <w:szCs w:val="20"/>
        </w:rPr>
        <w:t xml:space="preserve">for fracture; or patients who have failed or are intolerant to other available osteoporosis therapy. </w:t>
      </w:r>
    </w:p>
    <w:p w:rsidR="00687FA9" w:rsidRDefault="00687FA9" w:rsidP="00687FA9">
      <w:pPr>
        <w:pStyle w:val="BodyText"/>
        <w:spacing w:after="0" w:line="240" w:lineRule="auto"/>
        <w:rPr>
          <w:rFonts w:ascii="Arial" w:hAnsi="Arial" w:cs="Arial"/>
          <w:b/>
        </w:rPr>
      </w:pPr>
    </w:p>
    <w:p w:rsidR="00687FA9" w:rsidRDefault="00687FA9" w:rsidP="00687FA9">
      <w:pPr>
        <w:pStyle w:val="BodyText"/>
        <w:spacing w:after="0" w:line="240" w:lineRule="auto"/>
        <w:rPr>
          <w:rFonts w:ascii="Arial" w:hAnsi="Arial" w:cs="Arial"/>
          <w:b/>
        </w:rPr>
      </w:pPr>
    </w:p>
    <w:p w:rsidR="00687FA9" w:rsidRDefault="00687FA9" w:rsidP="00687FA9">
      <w:pPr>
        <w:pStyle w:val="BodyText"/>
        <w:spacing w:after="0" w:line="240" w:lineRule="auto"/>
        <w:rPr>
          <w:rFonts w:ascii="Arial" w:hAnsi="Arial" w:cs="Arial"/>
          <w:b/>
        </w:rPr>
      </w:pPr>
    </w:p>
    <w:p w:rsidR="00687FA9" w:rsidRDefault="00687FA9" w:rsidP="00687FA9">
      <w:pPr>
        <w:pStyle w:val="BodyText"/>
        <w:spacing w:after="0" w:line="240" w:lineRule="auto"/>
        <w:rPr>
          <w:rFonts w:ascii="Arial" w:hAnsi="Arial" w:cs="Arial"/>
          <w:b/>
        </w:rPr>
      </w:pPr>
    </w:p>
    <w:p w:rsidR="00687FA9" w:rsidRDefault="00687FA9" w:rsidP="00687FA9">
      <w:pPr>
        <w:pStyle w:val="BodyText"/>
        <w:spacing w:after="0" w:line="240" w:lineRule="auto"/>
        <w:rPr>
          <w:rFonts w:ascii="Arial" w:hAnsi="Arial" w:cs="Arial"/>
          <w:b/>
        </w:rPr>
      </w:pPr>
    </w:p>
    <w:p w:rsidR="00687FA9" w:rsidRPr="00CD5A74" w:rsidRDefault="00687FA9" w:rsidP="00687FA9">
      <w:pPr>
        <w:pStyle w:val="BodyText"/>
        <w:spacing w:after="0" w:line="240" w:lineRule="auto"/>
        <w:rPr>
          <w:rFonts w:ascii="Arial" w:hAnsi="Arial" w:cs="Arial"/>
          <w:b/>
        </w:rPr>
      </w:pPr>
      <w:r w:rsidRPr="00CD5A74">
        <w:rPr>
          <w:rFonts w:ascii="Arial" w:hAnsi="Arial" w:cs="Arial"/>
          <w:b/>
        </w:rPr>
        <w:t>INDICATION</w:t>
      </w:r>
    </w:p>
    <w:p w:rsidR="00687FA9" w:rsidRPr="00CD5A74" w:rsidRDefault="00687FA9" w:rsidP="00687FA9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="Batang" w:hAnsi="Arial" w:cs="Arial"/>
          <w:color w:val="000000"/>
          <w:szCs w:val="20"/>
        </w:rPr>
      </w:pPr>
    </w:p>
    <w:p w:rsidR="00687FA9" w:rsidRPr="00CD5A74" w:rsidRDefault="00687FA9" w:rsidP="00687FA9">
      <w:pPr>
        <w:pStyle w:val="Default"/>
        <w:rPr>
          <w:rFonts w:ascii="Arial" w:hAnsi="Arial" w:cs="Arial"/>
          <w:sz w:val="20"/>
          <w:szCs w:val="20"/>
        </w:rPr>
      </w:pPr>
      <w:proofErr w:type="spellStart"/>
      <w:r w:rsidRPr="00CD5A74">
        <w:rPr>
          <w:rFonts w:ascii="Arial" w:eastAsia="Batang" w:hAnsi="Arial" w:cs="Arial"/>
          <w:sz w:val="20"/>
          <w:szCs w:val="20"/>
        </w:rPr>
        <w:t>Prolia</w:t>
      </w:r>
      <w:proofErr w:type="spellEnd"/>
      <w:r w:rsidRPr="00CD5A74">
        <w:rPr>
          <w:rFonts w:ascii="Arial" w:eastAsia="Batang" w:hAnsi="Arial" w:cs="Arial"/>
          <w:sz w:val="20"/>
          <w:szCs w:val="20"/>
          <w:vertAlign w:val="superscript"/>
        </w:rPr>
        <w:t>®</w:t>
      </w:r>
      <w:r w:rsidRPr="00CD5A74">
        <w:rPr>
          <w:rFonts w:ascii="Arial" w:eastAsia="Batang" w:hAnsi="Arial" w:cs="Arial"/>
          <w:sz w:val="20"/>
          <w:szCs w:val="20"/>
        </w:rPr>
        <w:t xml:space="preserve"> is indicated for treatment to increase bone mass in men with osteoporosis at high risk for fracture, defined as a history of osteoporotic fracture, or multiple risk factors </w:t>
      </w:r>
      <w:r w:rsidRPr="00CD5A74">
        <w:rPr>
          <w:rFonts w:ascii="Arial" w:hAnsi="Arial" w:cs="Arial"/>
          <w:sz w:val="20"/>
          <w:szCs w:val="20"/>
        </w:rPr>
        <w:t xml:space="preserve">for fracture; or patients who have failed or are intolerant to other available osteoporosis therapy. </w:t>
      </w:r>
    </w:p>
    <w:p w:rsidR="00FF3DF2" w:rsidRDefault="00FF3DF2" w:rsidP="00FF3DF2">
      <w:pPr>
        <w:pBdr>
          <w:bottom w:val="single" w:sz="6" w:space="1" w:color="auto"/>
        </w:pBdr>
        <w:ind w:firstLine="0"/>
      </w:pPr>
    </w:p>
    <w:p w:rsidR="003A0659" w:rsidRDefault="003A0659" w:rsidP="00FF3DF2">
      <w:pPr>
        <w:ind w:firstLine="0"/>
      </w:pPr>
    </w:p>
    <w:p w:rsidR="00C81BAF" w:rsidRPr="00E64846" w:rsidRDefault="00E64846" w:rsidP="00FF3DF2">
      <w:pPr>
        <w:ind w:firstLine="0"/>
        <w:rPr>
          <w:rFonts w:ascii="Arial" w:hAnsi="Arial" w:cs="Arial"/>
          <w:b/>
          <w:color w:val="FF0000"/>
          <w:sz w:val="36"/>
          <w:szCs w:val="36"/>
        </w:rPr>
      </w:pPr>
      <w:r w:rsidRPr="00E64846">
        <w:rPr>
          <w:rFonts w:ascii="Arial" w:hAnsi="Arial" w:cs="Arial"/>
          <w:b/>
          <w:color w:val="FF0000"/>
          <w:sz w:val="36"/>
          <w:szCs w:val="36"/>
        </w:rPr>
        <w:t>TEST 2</w:t>
      </w:r>
      <w:bookmarkStart w:id="0" w:name="_GoBack"/>
      <w:bookmarkEnd w:id="0"/>
    </w:p>
    <w:p w:rsidR="00C81BAF" w:rsidRDefault="00C81BAF" w:rsidP="00FF3DF2">
      <w:pPr>
        <w:ind w:firstLine="0"/>
      </w:pPr>
    </w:p>
    <w:p w:rsidR="00C81BAF" w:rsidRPr="00882EB0" w:rsidRDefault="00C81BAF" w:rsidP="00C81BAF">
      <w:pPr>
        <w:spacing w:before="0" w:line="240" w:lineRule="auto"/>
        <w:ind w:firstLine="0"/>
        <w:contextualSpacing/>
        <w:rPr>
          <w:rFonts w:ascii="Arial" w:hAnsi="Arial" w:cs="Arial"/>
          <w:color w:val="0D0D0D"/>
          <w:szCs w:val="22"/>
        </w:rPr>
      </w:pPr>
      <w:r w:rsidRPr="00882EB0">
        <w:rPr>
          <w:rFonts w:ascii="Arial" w:hAnsi="Arial" w:cs="Arial"/>
          <w:color w:val="0D0D0D"/>
          <w:szCs w:val="22"/>
        </w:rPr>
        <w:t xml:space="preserve">The </w:t>
      </w:r>
      <w:proofErr w:type="spellStart"/>
      <w:r w:rsidRPr="00882EB0">
        <w:rPr>
          <w:rFonts w:ascii="Arial" w:hAnsi="Arial" w:cs="Arial"/>
          <w:color w:val="0D0D0D"/>
          <w:szCs w:val="22"/>
        </w:rPr>
        <w:t>Dexcom</w:t>
      </w:r>
      <w:proofErr w:type="spellEnd"/>
      <w:r w:rsidRPr="00882EB0">
        <w:rPr>
          <w:rFonts w:ascii="Arial" w:hAnsi="Arial" w:cs="Arial"/>
          <w:color w:val="0D0D0D"/>
          <w:szCs w:val="22"/>
        </w:rPr>
        <w:t xml:space="preserve"> G6</w:t>
      </w:r>
      <w:r w:rsidRPr="00882EB0">
        <w:rPr>
          <w:rFonts w:ascii="Arial" w:hAnsi="Arial" w:cs="Arial"/>
          <w:color w:val="0D0D0D"/>
          <w:szCs w:val="22"/>
          <w:vertAlign w:val="superscript"/>
        </w:rPr>
        <w:t>®</w:t>
      </w:r>
      <w:r w:rsidRPr="00882EB0">
        <w:rPr>
          <w:rFonts w:ascii="Arial" w:hAnsi="Arial" w:cs="Arial"/>
          <w:color w:val="0D0D0D"/>
          <w:szCs w:val="22"/>
        </w:rPr>
        <w:t xml:space="preserve"> Continuous Glucose Monitoring System is indicated for use in making diabetes treatment decisions without a confirmatory </w:t>
      </w:r>
      <w:proofErr w:type="spellStart"/>
      <w:r w:rsidRPr="00882EB0">
        <w:rPr>
          <w:rFonts w:ascii="Arial" w:hAnsi="Arial" w:cs="Arial"/>
          <w:color w:val="0D0D0D"/>
          <w:szCs w:val="22"/>
        </w:rPr>
        <w:t>fingerstick</w:t>
      </w:r>
      <w:proofErr w:type="spellEnd"/>
      <w:r w:rsidRPr="00882EB0">
        <w:rPr>
          <w:rFonts w:ascii="Arial" w:hAnsi="Arial" w:cs="Arial"/>
          <w:color w:val="0D0D0D"/>
          <w:szCs w:val="22"/>
        </w:rPr>
        <w:t>* and as such is covered by Medicare as therapeutic CGM.</w:t>
      </w:r>
    </w:p>
    <w:p w:rsidR="00C81BAF" w:rsidRPr="00882EB0" w:rsidRDefault="00C81BAF" w:rsidP="00C81BAF">
      <w:pPr>
        <w:spacing w:before="0" w:line="240" w:lineRule="auto"/>
        <w:ind w:firstLine="0"/>
        <w:contextualSpacing/>
        <w:rPr>
          <w:rFonts w:ascii="Arial" w:hAnsi="Arial" w:cs="Arial"/>
          <w:color w:val="0D0D0D"/>
          <w:szCs w:val="22"/>
        </w:rPr>
      </w:pPr>
    </w:p>
    <w:p w:rsidR="00C81BAF" w:rsidRDefault="00C81BAF" w:rsidP="00C81BAF">
      <w:pPr>
        <w:spacing w:before="0" w:line="240" w:lineRule="auto"/>
        <w:ind w:firstLine="0"/>
        <w:contextualSpacing/>
        <w:rPr>
          <w:rFonts w:ascii="Arial" w:hAnsi="Arial" w:cs="Arial"/>
          <w:color w:val="0D0D0D"/>
          <w:szCs w:val="22"/>
        </w:rPr>
      </w:pPr>
      <w:r w:rsidRPr="00882EB0">
        <w:rPr>
          <w:rFonts w:ascii="Arial" w:hAnsi="Arial" w:cs="Arial"/>
          <w:color w:val="0D0D0D"/>
          <w:szCs w:val="22"/>
        </w:rPr>
        <w:t>Seniors</w:t>
      </w:r>
      <w:r>
        <w:rPr>
          <w:rFonts w:ascii="Arial" w:hAnsi="Arial" w:cs="Arial"/>
          <w:color w:val="0D0D0D"/>
          <w:szCs w:val="22"/>
        </w:rPr>
        <w:t xml:space="preserve"> with diabetes are susceptible to a greater frequency of hypoglycemia unawareness and higher rate of hypoglycemia than younger adults.</w:t>
      </w:r>
      <w:r w:rsidRPr="00882EB0">
        <w:rPr>
          <w:rFonts w:ascii="Arial" w:hAnsi="Arial" w:cs="Arial"/>
          <w:color w:val="0D0D0D"/>
          <w:szCs w:val="22"/>
          <w:vertAlign w:val="superscript"/>
        </w:rPr>
        <w:t>1</w:t>
      </w:r>
      <w:r>
        <w:rPr>
          <w:rFonts w:ascii="Arial" w:hAnsi="Arial" w:cs="Arial"/>
          <w:color w:val="0D0D0D"/>
          <w:szCs w:val="22"/>
        </w:rPr>
        <w:t xml:space="preserve"> The </w:t>
      </w:r>
      <w:proofErr w:type="spellStart"/>
      <w:r>
        <w:rPr>
          <w:rFonts w:ascii="Arial" w:hAnsi="Arial" w:cs="Arial"/>
          <w:color w:val="0D0D0D"/>
          <w:szCs w:val="22"/>
        </w:rPr>
        <w:t>Dexcom</w:t>
      </w:r>
      <w:proofErr w:type="spellEnd"/>
      <w:r>
        <w:rPr>
          <w:rFonts w:ascii="Arial" w:hAnsi="Arial" w:cs="Arial"/>
          <w:color w:val="0D0D0D"/>
          <w:szCs w:val="22"/>
        </w:rPr>
        <w:t xml:space="preserve"> G6</w:t>
      </w:r>
      <w:r w:rsidRPr="00882EB0">
        <w:rPr>
          <w:rFonts w:ascii="Arial" w:hAnsi="Arial" w:cs="Arial"/>
          <w:color w:val="0D0D0D"/>
          <w:szCs w:val="22"/>
          <w:vertAlign w:val="superscript"/>
        </w:rPr>
        <w:t>®</w:t>
      </w:r>
      <w:r>
        <w:rPr>
          <w:rFonts w:ascii="Arial" w:hAnsi="Arial" w:cs="Arial"/>
          <w:color w:val="0D0D0D"/>
          <w:szCs w:val="22"/>
        </w:rPr>
        <w:t xml:space="preserve"> Continuous Glucose Monitoring System can be prescribed for your Medicare-eligible patients, providing this vulnerable population an additional layer of support.</w:t>
      </w:r>
    </w:p>
    <w:p w:rsidR="00C81BAF" w:rsidRPr="00052BDC" w:rsidRDefault="00C81BAF" w:rsidP="00C81BAF">
      <w:pPr>
        <w:spacing w:before="0" w:line="240" w:lineRule="auto"/>
        <w:ind w:firstLine="0"/>
        <w:contextualSpacing/>
        <w:rPr>
          <w:rFonts w:ascii="Arial" w:hAnsi="Arial" w:cs="Arial"/>
          <w:color w:val="0D0D0D"/>
          <w:szCs w:val="22"/>
        </w:rPr>
      </w:pPr>
    </w:p>
    <w:p w:rsidR="00C81BAF" w:rsidRDefault="00C81BAF" w:rsidP="00C81BAF">
      <w:pPr>
        <w:spacing w:before="0" w:line="240" w:lineRule="auto"/>
        <w:ind w:firstLine="0"/>
        <w:contextualSpacing/>
        <w:rPr>
          <w:rFonts w:ascii="Arial" w:hAnsi="Arial" w:cs="Arial"/>
          <w:sz w:val="18"/>
          <w:szCs w:val="20"/>
          <w:bdr w:val="none" w:sz="0" w:space="0" w:color="auto" w:frame="1"/>
        </w:rPr>
      </w:pPr>
      <w:r w:rsidRPr="00882EB0">
        <w:rPr>
          <w:rFonts w:ascii="Arial" w:hAnsi="Arial" w:cs="Arial"/>
          <w:sz w:val="18"/>
          <w:szCs w:val="20"/>
          <w:bdr w:val="none" w:sz="0" w:space="0" w:color="auto" w:frame="1"/>
        </w:rPr>
        <w:t>*If your glucose a</w:t>
      </w:r>
      <w:r>
        <w:rPr>
          <w:rFonts w:ascii="Arial" w:hAnsi="Arial" w:cs="Arial"/>
          <w:sz w:val="18"/>
          <w:szCs w:val="20"/>
          <w:bdr w:val="none" w:sz="0" w:space="0" w:color="auto" w:frame="1"/>
        </w:rPr>
        <w:t>lerts and readings from the G6 d</w:t>
      </w:r>
      <w:r w:rsidRPr="00882EB0">
        <w:rPr>
          <w:rFonts w:ascii="Arial" w:hAnsi="Arial" w:cs="Arial"/>
          <w:sz w:val="18"/>
          <w:szCs w:val="20"/>
          <w:bdr w:val="none" w:sz="0" w:space="0" w:color="auto" w:frame="1"/>
        </w:rPr>
        <w:t>o not match symptoms or expectations or you’re taking over the recommended maximum dosage amount of 1000mg of acetaminophen every 6 hours, use a blood glucose meter to make diabetes treatment decisions.</w:t>
      </w:r>
    </w:p>
    <w:p w:rsidR="00C81BAF" w:rsidRPr="00882EB0" w:rsidRDefault="00C81BAF" w:rsidP="00C81BAF">
      <w:pPr>
        <w:spacing w:before="0" w:line="240" w:lineRule="auto"/>
        <w:ind w:firstLine="0"/>
        <w:contextualSpacing/>
        <w:rPr>
          <w:rFonts w:ascii="Arial" w:hAnsi="Arial" w:cs="Arial"/>
          <w:sz w:val="18"/>
          <w:szCs w:val="20"/>
          <w:bdr w:val="none" w:sz="0" w:space="0" w:color="auto" w:frame="1"/>
        </w:rPr>
      </w:pPr>
    </w:p>
    <w:p w:rsidR="00C81BAF" w:rsidRDefault="00C81BAF" w:rsidP="00C81BAF">
      <w:pPr>
        <w:spacing w:before="0" w:line="240" w:lineRule="auto"/>
        <w:ind w:firstLine="0"/>
        <w:contextualSpacing/>
        <w:rPr>
          <w:rFonts w:ascii="Arial" w:hAnsi="Arial" w:cs="Arial"/>
          <w:b/>
          <w:color w:val="60A945"/>
          <w:sz w:val="22"/>
          <w:szCs w:val="20"/>
        </w:rPr>
      </w:pPr>
      <w:r w:rsidRPr="009D2FDB">
        <w:rPr>
          <w:rFonts w:ascii="Arial" w:hAnsi="Arial" w:cs="Arial"/>
          <w:b/>
          <w:color w:val="60A945"/>
          <w:sz w:val="22"/>
          <w:szCs w:val="20"/>
        </w:rPr>
        <w:t>Coverage Requirements</w:t>
      </w:r>
    </w:p>
    <w:p w:rsidR="00C81BAF" w:rsidRPr="00715895" w:rsidRDefault="00C81BAF" w:rsidP="00C81BAF">
      <w:pPr>
        <w:spacing w:before="0" w:line="240" w:lineRule="auto"/>
        <w:ind w:firstLine="0"/>
        <w:contextualSpacing/>
        <w:rPr>
          <w:rFonts w:ascii="Arial" w:hAnsi="Arial" w:cs="Arial"/>
          <w:b/>
          <w:color w:val="60A945"/>
          <w:sz w:val="22"/>
          <w:szCs w:val="20"/>
        </w:rPr>
      </w:pPr>
    </w:p>
    <w:p w:rsidR="00C81BAF" w:rsidRDefault="00C81BAF" w:rsidP="00C81BAF">
      <w:pPr>
        <w:spacing w:before="0" w:line="240" w:lineRule="auto"/>
        <w:ind w:firstLine="0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To qualify for coverage of therapeutic CGM, Medicare patients with type 1 and type 2 diabetes on intensive insulin therapy who meet the following criteria may be able to obtain reimbursement: </w:t>
      </w:r>
    </w:p>
    <w:p w:rsidR="00C81BAF" w:rsidRDefault="00C81BAF" w:rsidP="00C81BAF">
      <w:pPr>
        <w:spacing w:before="0" w:line="240" w:lineRule="auto"/>
        <w:ind w:firstLine="0"/>
        <w:contextualSpacing/>
        <w:rPr>
          <w:rFonts w:ascii="Arial" w:hAnsi="Arial" w:cs="Arial"/>
          <w:szCs w:val="20"/>
        </w:rPr>
      </w:pPr>
    </w:p>
    <w:p w:rsidR="00C81BAF" w:rsidRDefault="00C81BAF" w:rsidP="00C81BAF">
      <w:pPr>
        <w:numPr>
          <w:ilvl w:val="0"/>
          <w:numId w:val="1"/>
        </w:numPr>
        <w:spacing w:before="0" w:line="240" w:lineRule="auto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beneficiary requires a therapeutic CGM. The beneficiary has diabetes mellitus; and,</w:t>
      </w:r>
    </w:p>
    <w:p w:rsidR="00C81BAF" w:rsidRDefault="00C81BAF" w:rsidP="00C81BAF">
      <w:pPr>
        <w:numPr>
          <w:ilvl w:val="0"/>
          <w:numId w:val="1"/>
        </w:numPr>
        <w:spacing w:before="0" w:line="240" w:lineRule="auto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beneficiary has been using a home blood glucose monitor (BGM) and performing frequent (four or more times a day) BGM testing; and,</w:t>
      </w:r>
    </w:p>
    <w:p w:rsidR="00C81BAF" w:rsidRDefault="00C81BAF" w:rsidP="00C81BAF">
      <w:pPr>
        <w:numPr>
          <w:ilvl w:val="0"/>
          <w:numId w:val="1"/>
        </w:numPr>
        <w:spacing w:before="0" w:line="240" w:lineRule="auto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beneficiary is insulin-treated with 3 or more daily injections (MDI) of insulin or a continuous subcutaneous insulin infusion (CSII) pump; and,</w:t>
      </w:r>
    </w:p>
    <w:p w:rsidR="00C81BAF" w:rsidRDefault="00C81BAF" w:rsidP="00C81BAF">
      <w:pPr>
        <w:numPr>
          <w:ilvl w:val="0"/>
          <w:numId w:val="1"/>
        </w:numPr>
        <w:spacing w:before="0" w:line="240" w:lineRule="auto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beneficiary’s insulin treatment regimen requires frequent adjustments by the beneficiary on the basis of BGM or therapeutic CGM testing results.</w:t>
      </w:r>
    </w:p>
    <w:p w:rsidR="00C81BAF" w:rsidRDefault="00C81BAF" w:rsidP="00C81BAF">
      <w:pPr>
        <w:numPr>
          <w:ilvl w:val="0"/>
          <w:numId w:val="1"/>
        </w:numPr>
        <w:spacing w:before="0" w:line="240" w:lineRule="auto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lastRenderedPageBreak/>
        <w:t>Within six (6) months prior to ordering the CGM, the beneficiary had an in-person visit with the treating practitioner to evaluate their diabetes control and determine that the above criteria are met; and,</w:t>
      </w:r>
    </w:p>
    <w:p w:rsidR="00C81BAF" w:rsidRPr="009D2FDB" w:rsidRDefault="00C81BAF" w:rsidP="00C81BAF">
      <w:pPr>
        <w:numPr>
          <w:ilvl w:val="0"/>
          <w:numId w:val="1"/>
        </w:numPr>
        <w:spacing w:before="0" w:line="240" w:lineRule="auto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Cs w:val="20"/>
        </w:rPr>
        <w:t>Every six (6) months following the initial prescription of the CGM, the beneficiary has an in-person visit with the treating practitioner to assess adherence to their CGM regimen and diabetes treatment plan</w:t>
      </w:r>
    </w:p>
    <w:p w:rsidR="00C81BAF" w:rsidRDefault="00C81BAF" w:rsidP="00FF3DF2">
      <w:pPr>
        <w:ind w:firstLine="0"/>
      </w:pPr>
    </w:p>
    <w:p w:rsidR="00FF3DF2" w:rsidRDefault="00FF3DF2" w:rsidP="00FF3DF2">
      <w:pPr>
        <w:ind w:firstLine="0"/>
      </w:pPr>
    </w:p>
    <w:p w:rsidR="00FF3DF2" w:rsidRDefault="00FF3DF2" w:rsidP="00FF3DF2">
      <w:pPr>
        <w:ind w:firstLine="0"/>
      </w:pPr>
    </w:p>
    <w:p w:rsidR="00FF3DF2" w:rsidRDefault="00FF3DF2" w:rsidP="00FF3DF2">
      <w:pPr>
        <w:ind w:firstLine="0"/>
      </w:pPr>
    </w:p>
    <w:p w:rsidR="00C81BAF" w:rsidRDefault="00C81BAF" w:rsidP="00FF3DF2">
      <w:pPr>
        <w:ind w:firstLine="0"/>
      </w:pPr>
    </w:p>
    <w:p w:rsidR="00C81BAF" w:rsidRDefault="00C81BAF" w:rsidP="00FF3DF2">
      <w:pPr>
        <w:ind w:firstLine="0"/>
      </w:pPr>
    </w:p>
    <w:p w:rsidR="00C81BAF" w:rsidRDefault="00C81BAF" w:rsidP="00FF3DF2">
      <w:pPr>
        <w:ind w:firstLine="0"/>
      </w:pPr>
    </w:p>
    <w:p w:rsidR="00C81BAF" w:rsidRPr="00882EB0" w:rsidRDefault="00C81BAF" w:rsidP="00C81BAF">
      <w:pPr>
        <w:spacing w:before="0" w:line="240" w:lineRule="auto"/>
        <w:ind w:firstLine="0"/>
        <w:contextualSpacing/>
        <w:rPr>
          <w:rFonts w:ascii="Arial" w:hAnsi="Arial" w:cs="Arial"/>
          <w:color w:val="0D0D0D"/>
          <w:szCs w:val="22"/>
        </w:rPr>
      </w:pPr>
      <w:r w:rsidRPr="00882EB0">
        <w:rPr>
          <w:rFonts w:ascii="Arial" w:hAnsi="Arial" w:cs="Arial"/>
          <w:color w:val="0D0D0D"/>
          <w:szCs w:val="22"/>
        </w:rPr>
        <w:t xml:space="preserve">The </w:t>
      </w:r>
      <w:proofErr w:type="spellStart"/>
      <w:r w:rsidRPr="00882EB0">
        <w:rPr>
          <w:rFonts w:ascii="Arial" w:hAnsi="Arial" w:cs="Arial"/>
          <w:color w:val="0D0D0D"/>
          <w:szCs w:val="22"/>
        </w:rPr>
        <w:t>Dexcom</w:t>
      </w:r>
      <w:proofErr w:type="spellEnd"/>
      <w:r w:rsidRPr="00882EB0">
        <w:rPr>
          <w:rFonts w:ascii="Arial" w:hAnsi="Arial" w:cs="Arial"/>
          <w:color w:val="0D0D0D"/>
          <w:szCs w:val="22"/>
        </w:rPr>
        <w:t xml:space="preserve"> G6</w:t>
      </w:r>
      <w:r w:rsidRPr="00882EB0">
        <w:rPr>
          <w:rFonts w:ascii="Arial" w:hAnsi="Arial" w:cs="Arial"/>
          <w:color w:val="0D0D0D"/>
          <w:szCs w:val="22"/>
          <w:vertAlign w:val="superscript"/>
        </w:rPr>
        <w:t>®</w:t>
      </w:r>
      <w:r w:rsidRPr="00882EB0">
        <w:rPr>
          <w:rFonts w:ascii="Arial" w:hAnsi="Arial" w:cs="Arial"/>
          <w:color w:val="0D0D0D"/>
          <w:szCs w:val="22"/>
        </w:rPr>
        <w:t xml:space="preserve"> Continuous Glucose Monitoring System is indicated</w:t>
      </w:r>
      <w:r>
        <w:rPr>
          <w:rFonts w:ascii="Arial" w:hAnsi="Arial" w:cs="Arial"/>
          <w:color w:val="0D0D0D"/>
          <w:szCs w:val="22"/>
        </w:rPr>
        <w:t xml:space="preserve"> with something </w:t>
      </w:r>
      <w:proofErr w:type="spellStart"/>
      <w:r>
        <w:rPr>
          <w:rFonts w:ascii="Arial" w:hAnsi="Arial" w:cs="Arial"/>
          <w:color w:val="0D0D0D"/>
          <w:szCs w:val="22"/>
        </w:rPr>
        <w:t>haha</w:t>
      </w:r>
      <w:proofErr w:type="spellEnd"/>
      <w:r w:rsidRPr="00882EB0">
        <w:rPr>
          <w:rFonts w:ascii="Arial" w:hAnsi="Arial" w:cs="Arial"/>
          <w:color w:val="0D0D0D"/>
          <w:szCs w:val="22"/>
        </w:rPr>
        <w:t xml:space="preserve"> for use in making diabetes treatment decisions without a </w:t>
      </w:r>
      <w:proofErr w:type="spellStart"/>
      <w:r>
        <w:rPr>
          <w:rFonts w:ascii="Arial" w:hAnsi="Arial" w:cs="Arial"/>
          <w:color w:val="0D0D0D"/>
          <w:szCs w:val="22"/>
        </w:rPr>
        <w:t>fingerstick</w:t>
      </w:r>
      <w:proofErr w:type="spellEnd"/>
      <w:r w:rsidRPr="00882EB0">
        <w:rPr>
          <w:rFonts w:ascii="Arial" w:hAnsi="Arial" w:cs="Arial"/>
          <w:color w:val="0D0D0D"/>
          <w:szCs w:val="22"/>
        </w:rPr>
        <w:t xml:space="preserve"> and as such is covered by Medicare as therapeutic CGM.</w:t>
      </w:r>
    </w:p>
    <w:p w:rsidR="00C81BAF" w:rsidRPr="00882EB0" w:rsidRDefault="00C81BAF" w:rsidP="00C81BAF">
      <w:pPr>
        <w:spacing w:before="0" w:line="240" w:lineRule="auto"/>
        <w:ind w:firstLine="0"/>
        <w:contextualSpacing/>
        <w:rPr>
          <w:rFonts w:ascii="Arial" w:hAnsi="Arial" w:cs="Arial"/>
          <w:color w:val="0D0D0D"/>
          <w:szCs w:val="22"/>
        </w:rPr>
      </w:pPr>
    </w:p>
    <w:p w:rsidR="00C81BAF" w:rsidRDefault="00C81BAF" w:rsidP="00C81BAF">
      <w:pPr>
        <w:spacing w:before="0" w:line="240" w:lineRule="auto"/>
        <w:ind w:firstLine="0"/>
        <w:contextualSpacing/>
        <w:rPr>
          <w:rFonts w:ascii="Arial" w:hAnsi="Arial" w:cs="Arial"/>
          <w:color w:val="0D0D0D"/>
          <w:szCs w:val="22"/>
        </w:rPr>
      </w:pPr>
      <w:r w:rsidRPr="00882EB0">
        <w:rPr>
          <w:rFonts w:ascii="Arial" w:hAnsi="Arial" w:cs="Arial"/>
          <w:color w:val="0D0D0D"/>
          <w:szCs w:val="22"/>
        </w:rPr>
        <w:t>Seniors</w:t>
      </w:r>
      <w:r>
        <w:rPr>
          <w:rFonts w:ascii="Arial" w:hAnsi="Arial" w:cs="Arial"/>
          <w:color w:val="0D0D0D"/>
          <w:szCs w:val="22"/>
        </w:rPr>
        <w:t xml:space="preserve"> with diabetes are susceptible to a greater frequency of hypoglycemia unawareness and higher rate of hypoglycemia than younger adults.</w:t>
      </w:r>
      <w:r w:rsidRPr="00882EB0">
        <w:rPr>
          <w:rFonts w:ascii="Arial" w:hAnsi="Arial" w:cs="Arial"/>
          <w:color w:val="0D0D0D"/>
          <w:szCs w:val="22"/>
          <w:vertAlign w:val="superscript"/>
        </w:rPr>
        <w:t>1</w:t>
      </w:r>
      <w:r>
        <w:rPr>
          <w:rFonts w:ascii="Arial" w:hAnsi="Arial" w:cs="Arial"/>
          <w:color w:val="0D0D0D"/>
          <w:szCs w:val="22"/>
        </w:rPr>
        <w:t xml:space="preserve"> The </w:t>
      </w:r>
      <w:proofErr w:type="spellStart"/>
      <w:r>
        <w:rPr>
          <w:rFonts w:ascii="Arial" w:hAnsi="Arial" w:cs="Arial"/>
          <w:color w:val="0D0D0D"/>
          <w:szCs w:val="22"/>
        </w:rPr>
        <w:t>Dexcom</w:t>
      </w:r>
      <w:proofErr w:type="spellEnd"/>
      <w:r>
        <w:rPr>
          <w:rFonts w:ascii="Arial" w:hAnsi="Arial" w:cs="Arial"/>
          <w:color w:val="0D0D0D"/>
          <w:szCs w:val="22"/>
        </w:rPr>
        <w:t xml:space="preserve"> G6</w:t>
      </w:r>
      <w:r w:rsidRPr="00882EB0">
        <w:rPr>
          <w:rFonts w:ascii="Arial" w:hAnsi="Arial" w:cs="Arial"/>
          <w:color w:val="0D0D0D"/>
          <w:szCs w:val="22"/>
          <w:vertAlign w:val="superscript"/>
        </w:rPr>
        <w:t>®</w:t>
      </w:r>
      <w:r>
        <w:rPr>
          <w:rFonts w:ascii="Arial" w:hAnsi="Arial" w:cs="Arial"/>
          <w:color w:val="0D0D0D"/>
          <w:szCs w:val="22"/>
        </w:rPr>
        <w:t xml:space="preserve"> Continuous Glucose Monitoring System can be prescribed for your Medicare-eligible patients, providing this vulnerable population an additional layer of </w:t>
      </w:r>
      <w:proofErr w:type="gramStart"/>
      <w:r>
        <w:rPr>
          <w:rFonts w:ascii="Arial" w:hAnsi="Arial" w:cs="Arial"/>
          <w:color w:val="0D0D0D"/>
          <w:szCs w:val="22"/>
        </w:rPr>
        <w:t>support.</w:t>
      </w:r>
      <w:r>
        <w:rPr>
          <w:rFonts w:ascii="Arial" w:hAnsi="Arial" w:cs="Arial"/>
          <w:color w:val="0D0D0D"/>
          <w:szCs w:val="22"/>
        </w:rPr>
        <w:t>*</w:t>
      </w:r>
      <w:proofErr w:type="gramEnd"/>
    </w:p>
    <w:p w:rsidR="00C81BAF" w:rsidRPr="00052BDC" w:rsidRDefault="00C81BAF" w:rsidP="00C81BAF">
      <w:pPr>
        <w:spacing w:before="0" w:line="240" w:lineRule="auto"/>
        <w:ind w:firstLine="0"/>
        <w:contextualSpacing/>
        <w:rPr>
          <w:rFonts w:ascii="Arial" w:hAnsi="Arial" w:cs="Arial"/>
          <w:color w:val="0D0D0D"/>
          <w:szCs w:val="22"/>
        </w:rPr>
      </w:pPr>
    </w:p>
    <w:p w:rsidR="00C81BAF" w:rsidRDefault="00C81BAF" w:rsidP="00C81BAF">
      <w:pPr>
        <w:spacing w:before="0" w:line="240" w:lineRule="auto"/>
        <w:ind w:firstLine="0"/>
        <w:contextualSpacing/>
        <w:rPr>
          <w:rFonts w:ascii="Arial" w:hAnsi="Arial" w:cs="Arial"/>
          <w:sz w:val="18"/>
          <w:szCs w:val="20"/>
          <w:bdr w:val="none" w:sz="0" w:space="0" w:color="auto" w:frame="1"/>
        </w:rPr>
      </w:pPr>
      <w:r w:rsidRPr="00882EB0">
        <w:rPr>
          <w:rFonts w:ascii="Arial" w:hAnsi="Arial" w:cs="Arial"/>
          <w:sz w:val="18"/>
          <w:szCs w:val="20"/>
          <w:bdr w:val="none" w:sz="0" w:space="0" w:color="auto" w:frame="1"/>
        </w:rPr>
        <w:t>*If your glucose a</w:t>
      </w:r>
      <w:r>
        <w:rPr>
          <w:rFonts w:ascii="Arial" w:hAnsi="Arial" w:cs="Arial"/>
          <w:sz w:val="18"/>
          <w:szCs w:val="20"/>
          <w:bdr w:val="none" w:sz="0" w:space="0" w:color="auto" w:frame="1"/>
        </w:rPr>
        <w:t>lerts and readings from the G6 d</w:t>
      </w:r>
      <w:r w:rsidRPr="00882EB0">
        <w:rPr>
          <w:rFonts w:ascii="Arial" w:hAnsi="Arial" w:cs="Arial"/>
          <w:sz w:val="18"/>
          <w:szCs w:val="20"/>
          <w:bdr w:val="none" w:sz="0" w:space="0" w:color="auto" w:frame="1"/>
        </w:rPr>
        <w:t>o not match symptoms or expectations or you’re taking over the recommended maximum dosage amount of 1000mg of acetaminophen every 6 hours, use a blood glucose meter to make diabetes treatment decisions.</w:t>
      </w:r>
      <w:r>
        <w:rPr>
          <w:rFonts w:ascii="Arial" w:hAnsi="Arial" w:cs="Arial"/>
          <w:sz w:val="18"/>
          <w:szCs w:val="20"/>
          <w:bdr w:val="none" w:sz="0" w:space="0" w:color="auto" w:frame="1"/>
        </w:rPr>
        <w:t xml:space="preserve"> And some more.</w:t>
      </w:r>
    </w:p>
    <w:p w:rsidR="00C81BAF" w:rsidRPr="00882EB0" w:rsidRDefault="00C81BAF" w:rsidP="00C81BAF">
      <w:pPr>
        <w:spacing w:before="0" w:line="240" w:lineRule="auto"/>
        <w:ind w:firstLine="0"/>
        <w:contextualSpacing/>
        <w:rPr>
          <w:rFonts w:ascii="Arial" w:hAnsi="Arial" w:cs="Arial"/>
          <w:sz w:val="18"/>
          <w:szCs w:val="20"/>
          <w:bdr w:val="none" w:sz="0" w:space="0" w:color="auto" w:frame="1"/>
        </w:rPr>
      </w:pPr>
    </w:p>
    <w:p w:rsidR="00C81BAF" w:rsidRDefault="00C81BAF" w:rsidP="00C81BAF">
      <w:pPr>
        <w:spacing w:before="0" w:line="240" w:lineRule="auto"/>
        <w:ind w:firstLine="0"/>
        <w:contextualSpacing/>
        <w:rPr>
          <w:rFonts w:ascii="Arial" w:hAnsi="Arial" w:cs="Arial"/>
          <w:b/>
          <w:color w:val="60A945"/>
          <w:sz w:val="22"/>
          <w:szCs w:val="20"/>
        </w:rPr>
      </w:pPr>
      <w:r>
        <w:rPr>
          <w:rFonts w:ascii="Arial" w:hAnsi="Arial" w:cs="Arial"/>
          <w:b/>
          <w:color w:val="60A945"/>
          <w:sz w:val="22"/>
          <w:szCs w:val="20"/>
        </w:rPr>
        <w:t>Coverage Requirement</w:t>
      </w:r>
    </w:p>
    <w:p w:rsidR="00C81BAF" w:rsidRPr="00715895" w:rsidRDefault="00C81BAF" w:rsidP="00C81BAF">
      <w:pPr>
        <w:spacing w:before="0" w:line="240" w:lineRule="auto"/>
        <w:ind w:firstLine="0"/>
        <w:contextualSpacing/>
        <w:rPr>
          <w:rFonts w:ascii="Arial" w:hAnsi="Arial" w:cs="Arial"/>
          <w:b/>
          <w:color w:val="60A945"/>
          <w:sz w:val="22"/>
          <w:szCs w:val="20"/>
        </w:rPr>
      </w:pPr>
    </w:p>
    <w:p w:rsidR="00C81BAF" w:rsidRDefault="00C81BAF" w:rsidP="00C81BAF">
      <w:pPr>
        <w:spacing w:before="0" w:line="240" w:lineRule="auto"/>
        <w:ind w:firstLine="0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To qualify for coverage of therapeutic CGM, Medicare patients with type 1 and type 2 diabetes on intensive insulin therapy to obtain reimbursement: </w:t>
      </w:r>
    </w:p>
    <w:p w:rsidR="00C81BAF" w:rsidRDefault="00C81BAF" w:rsidP="00C81BAF">
      <w:pPr>
        <w:spacing w:before="0" w:line="240" w:lineRule="auto"/>
        <w:ind w:firstLine="0"/>
        <w:contextualSpacing/>
        <w:rPr>
          <w:rFonts w:ascii="Arial" w:hAnsi="Arial" w:cs="Arial"/>
          <w:szCs w:val="20"/>
        </w:rPr>
      </w:pPr>
    </w:p>
    <w:p w:rsidR="00C81BAF" w:rsidRDefault="00C81BAF" w:rsidP="00C81BAF">
      <w:pPr>
        <w:numPr>
          <w:ilvl w:val="0"/>
          <w:numId w:val="1"/>
        </w:numPr>
        <w:spacing w:before="0" w:line="240" w:lineRule="auto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beneficiary requires a therapeutic CGM. The beneficiary has diabetes mellitus; and,</w:t>
      </w:r>
    </w:p>
    <w:p w:rsidR="00C81BAF" w:rsidRDefault="00C81BAF" w:rsidP="00C81BAF">
      <w:pPr>
        <w:numPr>
          <w:ilvl w:val="0"/>
          <w:numId w:val="1"/>
        </w:numPr>
        <w:spacing w:before="0" w:line="240" w:lineRule="auto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beneficiary is insulin-treated with 3 or more daily injections (MDI) of insulin or a continuous subcutaneous insulin infusion (CSII) pump; and,</w:t>
      </w:r>
    </w:p>
    <w:p w:rsidR="00C81BAF" w:rsidRDefault="00C81BAF" w:rsidP="00C81BAF">
      <w:pPr>
        <w:numPr>
          <w:ilvl w:val="0"/>
          <w:numId w:val="1"/>
        </w:numPr>
        <w:spacing w:before="0" w:line="240" w:lineRule="auto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beneficiary’s insulin treatment regimen requires frequent adjustments by the beneficiary on the basis of BGM or therapeutic CGM testing results.</w:t>
      </w:r>
    </w:p>
    <w:p w:rsidR="00C81BAF" w:rsidRDefault="00C81BAF" w:rsidP="00C81BAF">
      <w:pPr>
        <w:numPr>
          <w:ilvl w:val="0"/>
          <w:numId w:val="1"/>
        </w:numPr>
        <w:spacing w:before="0" w:line="240" w:lineRule="auto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Within six (6) months prior to ordering the CGM, the beneficiary had an in-person visit with the treating practitioner to evaluate their diabetes control and determine that the above criteria are met; and,</w:t>
      </w:r>
    </w:p>
    <w:p w:rsidR="00C81BAF" w:rsidRPr="009D2FDB" w:rsidRDefault="00C81BAF" w:rsidP="00C81BAF">
      <w:pPr>
        <w:numPr>
          <w:ilvl w:val="0"/>
          <w:numId w:val="1"/>
        </w:numPr>
        <w:spacing w:before="0" w:line="240" w:lineRule="auto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Cs w:val="20"/>
        </w:rPr>
        <w:t>Every six (6) months following the initial prescription of the CGM, the beneficiary has an in-person visit with the treating practitioner to assess adherence to their CGM regimen and diabetes treatment plan</w:t>
      </w:r>
    </w:p>
    <w:p w:rsidR="00C81BAF" w:rsidRDefault="00C81BAF" w:rsidP="00FF3DF2">
      <w:pPr>
        <w:ind w:firstLine="0"/>
      </w:pPr>
    </w:p>
    <w:sectPr w:rsidR="00C81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A2712"/>
    <w:multiLevelType w:val="hybridMultilevel"/>
    <w:tmpl w:val="0F78F5B0"/>
    <w:lvl w:ilvl="0" w:tplc="A5EE3A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0A94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FA9"/>
    <w:rsid w:val="000D6813"/>
    <w:rsid w:val="00274030"/>
    <w:rsid w:val="003A0659"/>
    <w:rsid w:val="0059552E"/>
    <w:rsid w:val="00687FA9"/>
    <w:rsid w:val="006E0598"/>
    <w:rsid w:val="00721699"/>
    <w:rsid w:val="009E478D"/>
    <w:rsid w:val="009E777F"/>
    <w:rsid w:val="00BD1C03"/>
    <w:rsid w:val="00C81BAF"/>
    <w:rsid w:val="00E64846"/>
    <w:rsid w:val="00FF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35EE9"/>
  <w15:chartTrackingRefBased/>
  <w15:docId w15:val="{CFB2EB1F-8CDB-4129-BDC8-BC484E8E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FA9"/>
    <w:pPr>
      <w:spacing w:before="120" w:after="0" w:line="320" w:lineRule="atLeast"/>
      <w:ind w:firstLine="720"/>
    </w:pPr>
    <w:rPr>
      <w:rFonts w:ascii="Times New Roman" w:eastAsia="Times New Roman" w:hAnsi="Times New Roman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87FA9"/>
    <w:pPr>
      <w:spacing w:before="0" w:after="180"/>
      <w:ind w:firstLine="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687FA9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687FA9"/>
    <w:pPr>
      <w:autoSpaceDE w:val="0"/>
      <w:autoSpaceDN w:val="0"/>
      <w:adjustRightInd w:val="0"/>
      <w:spacing w:after="0" w:line="240" w:lineRule="auto"/>
    </w:pPr>
    <w:rPr>
      <w:rFonts w:ascii="Tahoma" w:eastAsia="Calibri" w:hAnsi="Tahoma" w:cs="Tahoma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firstLine="0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D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5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WebMD</Company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Chiad, Lana</dc:creator>
  <cp:keywords/>
  <dc:description/>
  <cp:lastModifiedBy>Chiad, Lana</cp:lastModifiedBy>
  <cp:revision>7</cp:revision>
  <dcterms:created xsi:type="dcterms:W3CDTF">2019-01-07T16:48:00Z</dcterms:created>
  <dcterms:modified xsi:type="dcterms:W3CDTF">2019-01-30T19:54:00Z</dcterms:modified>
</cp:coreProperties>
</file>