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76" w:lineRule="auto"/>
        <w:jc w:val="center"/>
        <w:rPr>
          <w:sz w:val="20"/>
          <w:szCs w:val="20"/>
        </w:rPr>
      </w:pPr>
      <w:r>
        <w:rPr>
          <w:rFonts w:ascii="Arial" w:cs="Arial" w:eastAsia="Arial" w:hAnsi="Arial"/>
          <w:rtl w:val="0"/>
        </w:rPr>
        <w:t xml:space="preserve"> </w:t>
      </w:r>
      <w:r>
        <w:rPr>
          <w:rFonts w:ascii="Arial" w:cs="Arial" w:eastAsia="Arial" w:hAnsi="Arial"/>
        </w:rPr>
        <w:drawing>
          <wp:inline distB="0" distT="0" distL="0" distR="0">
            <wp:extent cx="3782060" cy="6800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82060" cy="680085"/>
                    </a:xfrm>
                    <a:prstGeom prst="rect"/>
                    <a:ln/>
                  </pic:spPr>
                </pic:pic>
              </a:graphicData>
            </a:graphic>
          </wp:inline>
        </w:drawing>
      </w:r>
      <w:r>
        <w:rPr>
          <w:rtl w:val="0"/>
        </w:rPr>
      </w:r>
    </w:p>
    <w:p w:rsidR="00000000" w:rsidDel="00000000" w:rsidP="00000000" w:rsidRDefault="00000000" w:rsidRPr="00000000" w14:paraId="00000002">
      <w:pPr>
        <w:spacing w:before="4" w:line="240" w:lineRule="auto"/>
        <w:ind w:firstLine="0"/>
        <w:rPr>
          <w:sz w:val="25"/>
          <w:szCs w:val="25"/>
        </w:rPr>
      </w:pPr>
      <w:r>
        <w:rPr>
          <w:rtl w:val="0"/>
        </w:rPr>
      </w:r>
    </w:p>
    <w:p w:rsidR="00000000" w:rsidDel="00000000" w:rsidP="00000000" w:rsidRDefault="00000000" w:rsidRPr="00000000" w14:paraId="00000003">
      <w:pPr>
        <w:spacing w:before="91" w:line="688" w:lineRule="auto"/>
        <w:ind w:left="2946" w:right="1292" w:hanging="944"/>
        <w:rPr>
          <w:b w:val="1"/>
          <w:bCs w:val="1"/>
          <w:sz w:val="20"/>
          <w:szCs w:val="20"/>
        </w:rPr>
      </w:pPr>
      <w:r>
        <w:rPr>
          <w:b w:val="1"/>
          <w:bCs w:val="1"/>
          <w:sz w:val="20"/>
          <w:szCs w:val="20"/>
          <w:rtl w:val="0"/>
        </w:rPr>
        <w:t xml:space="preserve">COLLEGE OF COMPUTER STUDIES DEPARTMENT </w:t>
      </w:r>
      <w:r>
        <w:rPr>
          <w:b w:val="1"/>
          <w:bCs w:val="1"/>
          <w:color w:val="006600"/>
          <w:sz w:val="20"/>
          <w:szCs w:val="20"/>
          <w:rtl w:val="0"/>
        </w:rPr>
        <w:t xml:space="preserve">CS0027 COMPLIANCE REPORT</w:t>
        <w:tab/>
      </w:r>
      <w:r>
        <w:rPr>
          <w:rtl w:val="0"/>
        </w:rPr>
      </w:r>
    </w:p>
    <w:tbl>
      <w:tblPr>
        <w:tblStyle w:val="Table1"/>
        <w:tblW w:w="9390.0" w:type="dxa"/>
        <w:jc w:val="left"/>
        <w:tblInd w:w="-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630"/>
        <w:gridCol w:w="2370"/>
        <w:gridCol w:w="3390"/>
        <w:tblGridChange w:id="0">
          <w:tblGrid>
            <w:gridCol w:w="3630"/>
            <w:gridCol w:w="2370"/>
            <w:gridCol w:w="3390"/>
          </w:tblGrid>
        </w:tblGridChange>
      </w:tblGrid>
      <w:tr>
        <w:trPr>
          <w:cantSplit w:val="0"/>
          <w:trHeight w:val="452" w:hRule="atLeast"/>
          <w:tblHeader w:val="0"/>
        </w:trPr>
        <w:tc>
          <w:tcPr>
            <w:gridSpan w:val="3"/>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20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ffffff"/>
                <w:sz w:val="20"/>
                <w:szCs w:val="20"/>
                <w:u w:val="none"/>
                <w:shd w:fill="006600" w:val="clear"/>
                <w:vertAlign w:val="baseline"/>
                <w:rtl w:val="0"/>
              </w:rPr>
              <w:t xml:space="preserve">GROUP PROFILE</w:t>
            </w:r>
            <w:r>
              <w:rPr>
                <w:rtl w:val="0"/>
              </w:rPr>
            </w:r>
          </w:p>
        </w:tc>
      </w:tr>
      <w:tr>
        <w:trPr>
          <w:cantSplit w:val="0"/>
          <w:trHeight w:val="899" w:hRule="atLeast"/>
          <w:tblHeader w:val="0"/>
        </w:trPr>
        <w:tc>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93" w:line="240" w:lineRule="auto"/>
              <w:ind w:left="20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Group Name:</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25" w:line="240" w:lineRule="auto"/>
              <w:ind w:left="20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b w:val="1"/>
                <w:bCs w:val="1"/>
                <w:color w:val="006600"/>
                <w:sz w:val="20"/>
                <w:szCs w:val="20"/>
                <w:rtl w:val="0"/>
              </w:rPr>
              <w:t xml:space="preserve">ByteMe</w:t>
            </w:r>
            <w:r>
              <w:rPr>
                <w:rtl w:val="0"/>
              </w:rPr>
            </w:r>
          </w:p>
        </w:tc>
        <w:tc>
          <w:tcPr>
            <w:gridSpan w:val="2"/>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93" w:line="240" w:lineRule="auto"/>
              <w:ind w:left="21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Program:</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13" w:line="242" w:lineRule="auto"/>
              <w:ind w:left="210" w:right="24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6600"/>
                <w:sz w:val="20"/>
                <w:szCs w:val="20"/>
                <w:u w:val="none"/>
                <w:shd w:fill="auto" w:val="clear"/>
                <w:vertAlign w:val="baseline"/>
                <w:rtl w:val="0"/>
              </w:rPr>
              <w:t xml:space="preserve">Bachelor of Science in Computer Science with </w:t>
            </w:r>
            <w:r>
              <w:rPr>
                <w:b w:val="1"/>
                <w:bCs w:val="1"/>
                <w:color w:val="006600"/>
                <w:sz w:val="20"/>
                <w:szCs w:val="20"/>
                <w:rtl w:val="0"/>
              </w:rPr>
              <w:t xml:space="preserve">S</w:t>
            </w:r>
            <w:r>
              <w:rPr>
                <w:rFonts w:ascii="Times New Roman" w:cs="Times New Roman" w:eastAsia="Times New Roman" w:hAnsi="Times New Roman"/>
                <w:b w:val="1"/>
                <w:bCs w:val="1"/>
                <w:i w:val="0"/>
                <w:iCs w:val="0"/>
                <w:smallCaps w:val="0"/>
                <w:strike w:val="0"/>
                <w:color w:val="006600"/>
                <w:sz w:val="20"/>
                <w:szCs w:val="20"/>
                <w:u w:val="none"/>
                <w:shd w:fill="auto" w:val="clear"/>
                <w:vertAlign w:val="baseline"/>
                <w:rtl w:val="0"/>
              </w:rPr>
              <w:t xml:space="preserve">pecialization in Software Engineering</w:t>
            </w:r>
            <w:r>
              <w:rPr>
                <w:rtl w:val="0"/>
              </w:rPr>
            </w:r>
          </w:p>
        </w:tc>
      </w:tr>
      <w:tr>
        <w:trPr>
          <w:cantSplit w:val="0"/>
          <w:trHeight w:val="1379" w:hRule="atLeast"/>
          <w:tblHeader w:val="0"/>
        </w:trPr>
        <w:tc>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21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Member Name</w:t>
            </w:r>
          </w:p>
          <w:p w:rsidR="00000000" w:rsidDel="00000000" w:rsidP="00000000" w:rsidRDefault="00000000" w:rsidRPr="00000000" w14:paraId="0000000D">
            <w:pPr>
              <w:widowControl w:val="1"/>
              <w:spacing w:line="276" w:lineRule="auto"/>
              <w:rPr>
                <w:b w:val="1"/>
                <w:bCs w:val="1"/>
                <w:color w:val="38761d"/>
                <w:sz w:val="20"/>
                <w:szCs w:val="20"/>
              </w:rPr>
            </w:pPr>
            <w:r>
              <w:rPr>
                <w:b w:val="1"/>
                <w:bCs w:val="1"/>
                <w:color w:val="38761d"/>
                <w:sz w:val="20"/>
                <w:szCs w:val="20"/>
                <w:rtl w:val="0"/>
              </w:rPr>
              <w:t xml:space="preserve">    Añonuevo, Jon Rian A.</w:t>
            </w:r>
          </w:p>
          <w:p w:rsidR="00000000" w:rsidDel="00000000" w:rsidP="00000000" w:rsidRDefault="00000000" w:rsidRPr="00000000" w14:paraId="0000000E">
            <w:pPr>
              <w:widowControl w:val="1"/>
              <w:spacing w:line="276" w:lineRule="auto"/>
              <w:rPr>
                <w:b w:val="1"/>
                <w:bCs w:val="1"/>
                <w:color w:val="38761d"/>
                <w:sz w:val="20"/>
                <w:szCs w:val="20"/>
              </w:rPr>
            </w:pPr>
            <w:r>
              <w:rPr>
                <w:b w:val="1"/>
                <w:bCs w:val="1"/>
                <w:color w:val="38761d"/>
                <w:sz w:val="20"/>
                <w:szCs w:val="20"/>
                <w:rtl w:val="0"/>
              </w:rPr>
              <w:t xml:space="preserve">    Ballano, Denise Nicole M.</w:t>
            </w:r>
          </w:p>
          <w:p w:rsidR="00000000" w:rsidDel="00000000" w:rsidP="00000000" w:rsidRDefault="00000000" w:rsidRPr="00000000" w14:paraId="0000000F">
            <w:pPr>
              <w:widowControl w:val="1"/>
              <w:spacing w:line="276" w:lineRule="auto"/>
              <w:rPr>
                <w:b w:val="1"/>
                <w:bCs w:val="1"/>
                <w:color w:val="38761d"/>
                <w:sz w:val="20"/>
                <w:szCs w:val="20"/>
              </w:rPr>
            </w:pPr>
            <w:r>
              <w:rPr>
                <w:b w:val="1"/>
                <w:bCs w:val="1"/>
                <w:color w:val="38761d"/>
                <w:sz w:val="20"/>
                <w:szCs w:val="20"/>
                <w:rtl w:val="0"/>
              </w:rPr>
              <w:t xml:space="preserve">    Huertas, Lana Denise R.</w:t>
            </w:r>
          </w:p>
          <w:p w:rsidR="00000000" w:rsidDel="00000000" w:rsidP="00000000" w:rsidRDefault="00000000" w:rsidRPr="00000000" w14:paraId="00000010">
            <w:pPr>
              <w:widowControl w:val="1"/>
              <w:spacing w:line="276" w:lineRule="auto"/>
              <w:rPr>
                <w:b w:val="1"/>
                <w:bCs w:val="1"/>
                <w:color w:val="006600"/>
                <w:sz w:val="20"/>
                <w:szCs w:val="20"/>
              </w:rPr>
            </w:pPr>
            <w:r>
              <w:rPr>
                <w:b w:val="1"/>
                <w:bCs w:val="1"/>
                <w:color w:val="38761d"/>
                <w:sz w:val="20"/>
                <w:szCs w:val="20"/>
                <w:rtl w:val="0"/>
              </w:rPr>
              <w:t xml:space="preserve">    Tablate, Judea Ann C.</w:t>
            </w:r>
            <w:r>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12" w:line="246.99999999999994" w:lineRule="auto"/>
              <w:ind w:left="203" w:right="325" w:firstLine="0"/>
              <w:jc w:val="left"/>
              <w:rPr>
                <w:b w:val="1"/>
                <w:bCs w:val="1"/>
                <w:color w:val="006600"/>
                <w:sz w:val="20"/>
                <w:szCs w:val="20"/>
              </w:rPr>
            </w:pPr>
            <w:r>
              <w:rPr>
                <w:rtl w:val="0"/>
              </w:rPr>
            </w:r>
          </w:p>
        </w:tc>
        <w:tc>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b w:val="1"/>
                <w:bCs w:val="1"/>
                <w:sz w:val="20"/>
                <w:szCs w:val="20"/>
                <w:rtl w:val="0"/>
              </w:rPr>
              <w:t xml:space="preserve">     </w:t>
            </w: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 1</w:t>
            </w:r>
            <w:r>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st</w:t>
            </w: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 </w:t>
            </w:r>
            <w:r>
              <w:rPr>
                <w:b w:val="1"/>
                <w:bCs w:val="1"/>
                <w:sz w:val="20"/>
                <w:szCs w:val="20"/>
                <w:rtl w:val="0"/>
              </w:rPr>
              <w:t xml:space="preserve"> </w:t>
            </w: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2</w:t>
            </w:r>
            <w:r>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nd</w:t>
            </w: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Pr>
                <w:b w:val="1"/>
                <w:bCs w:val="1"/>
                <w:sz w:val="20"/>
                <w:szCs w:val="20"/>
                <w:rtl w:val="0"/>
              </w:rPr>
              <w:t xml:space="preserve">X</w:t>
            </w: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 3</w:t>
            </w:r>
            <w:r>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rd</w:t>
            </w:r>
            <w:r>
              <w:rPr>
                <w:rtl w:val="0"/>
              </w:rPr>
            </w:r>
          </w:p>
        </w:tc>
        <w:tc>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19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Academic Year:</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20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6600"/>
                <w:sz w:val="20"/>
                <w:szCs w:val="20"/>
                <w:u w:val="none"/>
                <w:shd w:fill="auto" w:val="clear"/>
                <w:vertAlign w:val="baseline"/>
                <w:rtl w:val="0"/>
              </w:rPr>
              <w:t xml:space="preserve">202</w:t>
            </w:r>
            <w:r>
              <w:rPr>
                <w:b w:val="1"/>
                <w:bCs w:val="1"/>
                <w:color w:val="006600"/>
                <w:sz w:val="20"/>
                <w:szCs w:val="20"/>
                <w:rtl w:val="0"/>
              </w:rPr>
              <w:t xml:space="preserve">5-2026</w:t>
            </w:r>
            <w:r>
              <w:rPr>
                <w:rtl w:val="0"/>
              </w:rPr>
            </w:r>
          </w:p>
        </w:tc>
      </w:tr>
      <w:tr>
        <w:trPr>
          <w:cantSplit w:val="0"/>
          <w:trHeight w:val="906" w:hRule="atLeast"/>
          <w:tblHeader w:val="0"/>
        </w:trPr>
        <w:tc>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93" w:line="240" w:lineRule="auto"/>
              <w:ind w:left="20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Oral Defense Dates:</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13" w:line="240" w:lineRule="auto"/>
              <w:ind w:left="213" w:right="0" w:firstLine="0"/>
              <w:jc w:val="left"/>
              <w:rPr>
                <w:b w:val="1"/>
                <w:bCs w:val="1"/>
                <w:color w:val="006600"/>
                <w:sz w:val="20"/>
                <w:szCs w:val="20"/>
              </w:rPr>
            </w:pPr>
            <w:r>
              <w:rPr>
                <w:b w:val="1"/>
                <w:bCs w:val="1"/>
                <w:color w:val="006600"/>
                <w:sz w:val="20"/>
                <w:szCs w:val="20"/>
                <w:rtl w:val="0"/>
              </w:rPr>
              <w:t xml:space="preserve">June 1, 2026</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13" w:line="240" w:lineRule="auto"/>
              <w:ind w:left="213" w:right="0" w:firstLine="0"/>
              <w:jc w:val="left"/>
              <w:rPr>
                <w:rFonts w:ascii="Times New Roman" w:cs="Times New Roman" w:eastAsia="Times New Roman" w:hAnsi="Times New Roman"/>
                <w:b w:val="1"/>
                <w:bCs w:val="1"/>
                <w:i w:val="0"/>
                <w:iCs w:val="0"/>
                <w:smallCaps w:val="0"/>
                <w:strike w:val="0"/>
                <w:color w:val="006600"/>
                <w:sz w:val="20"/>
                <w:szCs w:val="20"/>
                <w:u w:val="none"/>
                <w:shd w:fill="auto" w:val="clear"/>
                <w:vertAlign w:val="baseline"/>
              </w:rPr>
            </w:pPr>
            <w:r>
              <w:rPr>
                <w:rtl w:val="0"/>
              </w:rPr>
            </w:r>
          </w:p>
        </w:tc>
        <w:tc>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93" w:line="240" w:lineRule="auto"/>
              <w:ind w:left="2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13" w:line="240" w:lineRule="auto"/>
              <w:ind w:left="21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b w:val="1"/>
                <w:bCs w:val="1"/>
                <w:color w:val="006600"/>
                <w:sz w:val="20"/>
                <w:szCs w:val="20"/>
                <w:rtl w:val="0"/>
              </w:rPr>
              <w:t xml:space="preserve">8:00-9:00 </w:t>
            </w:r>
            <w:r>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210" w:right="0" w:firstLine="0"/>
              <w:jc w:val="left"/>
              <w:rPr>
                <w:rFonts w:ascii="Times New Roman" w:cs="Times New Roman" w:eastAsia="Times New Roman" w:hAnsi="Times New Roman"/>
                <w:b w:val="1"/>
                <w:bCs w:val="1"/>
                <w:i w:val="0"/>
                <w:iCs w:val="0"/>
                <w:smallCaps w:val="0"/>
                <w:strike w:val="0"/>
                <w:color w:val="006600"/>
                <w:sz w:val="20"/>
                <w:szCs w:val="20"/>
                <w:u w:val="none"/>
                <w:shd w:fill="auto" w:val="clear"/>
                <w:vertAlign w:val="baseline"/>
              </w:rPr>
            </w:pPr>
            <w:r>
              <w:rPr>
                <w:rtl w:val="0"/>
              </w:rPr>
            </w:r>
          </w:p>
        </w:tc>
        <w:tc>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93" w:line="240" w:lineRule="auto"/>
              <w:ind w:left="19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Venue:</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15" w:line="240" w:lineRule="auto"/>
              <w:ind w:left="197"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b w:val="1"/>
                <w:bCs w:val="1"/>
                <w:color w:val="006600"/>
                <w:sz w:val="20"/>
                <w:szCs w:val="20"/>
                <w:rtl w:val="0"/>
              </w:rPr>
              <w:t xml:space="preserve">FTIC, DR3</w:t>
            </w:r>
            <w:r>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97"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rtl w:val="0"/>
              </w:rPr>
            </w:r>
          </w:p>
        </w:tc>
      </w:tr>
      <w:tr>
        <w:trPr>
          <w:cantSplit w:val="0"/>
          <w:trHeight w:val="906" w:hRule="atLeast"/>
          <w:tblHeader w:val="0"/>
        </w:trPr>
        <w:tc>
          <w:tcPr>
            <w:gridSpan w:val="3"/>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96" w:line="240" w:lineRule="auto"/>
              <w:ind w:left="20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Title of the Project:</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12" w:line="246.99999999999994" w:lineRule="auto"/>
              <w:ind w:left="213" w:right="888"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Pr>
                <w:b w:val="1"/>
                <w:bCs w:val="1"/>
                <w:color w:val="006600"/>
                <w:sz w:val="20"/>
                <w:szCs w:val="20"/>
                <w:rtl w:val="0"/>
              </w:rPr>
              <w:t xml:space="preserve">PsyClick: Clinical Decision Support System for Detecting Single-Session Psychomotor Disturbances via EWMA-Based Multivariate Analysis of Keystroke and Cursor Dynamics </w:t>
            </w:r>
            <w:r>
              <w:rPr>
                <w:rtl w:val="0"/>
              </w:rPr>
            </w:r>
          </w:p>
        </w:tc>
      </w:tr>
    </w:tbl>
    <w:p w:rsidR="00000000" w:rsidDel="00000000" w:rsidP="00000000" w:rsidRDefault="00000000" w:rsidRPr="00000000" w14:paraId="00000023">
      <w:pPr>
        <w:spacing w:before="0" w:line="240" w:lineRule="auto"/>
        <w:ind w:firstLine="0"/>
        <w:rPr>
          <w:b w:val="1"/>
          <w:bCs w:val="1"/>
          <w:sz w:val="20"/>
          <w:szCs w:val="20"/>
        </w:rPr>
      </w:pPr>
      <w:r>
        <w:rPr>
          <w:rtl w:val="0"/>
        </w:rPr>
      </w:r>
    </w:p>
    <w:p w:rsidR="00000000" w:rsidDel="00000000" w:rsidP="00000000" w:rsidRDefault="00000000" w:rsidRPr="00000000" w14:paraId="00000024">
      <w:pPr>
        <w:widowControl w:val="1"/>
        <w:spacing w:after="120" w:lineRule="auto"/>
        <w:jc w:val="center"/>
        <w:rPr>
          <w:rFonts w:ascii="Arial" w:cs="Arial" w:eastAsia="Arial" w:hAnsi="Arial"/>
          <w:sz w:val="20"/>
          <w:szCs w:val="20"/>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2925"/>
        <w:gridCol w:w="3900"/>
        <w:gridCol w:w="1140"/>
        <w:tblGridChange w:id="0">
          <w:tblGrid>
            <w:gridCol w:w="1395"/>
            <w:gridCol w:w="2925"/>
            <w:gridCol w:w="3900"/>
            <w:gridCol w:w="1140"/>
          </w:tblGrid>
        </w:tblGridChange>
      </w:tblGrid>
      <w:tr>
        <w:trPr>
          <w:cantSplit w:val="0"/>
          <w:trHeight w:val="424.98046875" w:hRule="atLeast"/>
          <w:tblHeader w:val="0"/>
        </w:trPr>
        <w:tc>
          <w:tcPr>
            <w:gridSpan w:val="4"/>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25">
            <w:pPr>
              <w:spacing w:before="101" w:lineRule="auto"/>
              <w:ind w:left="205" w:firstLine="0"/>
              <w:rPr>
                <w:b w:val="1"/>
                <w:bCs w:val="1"/>
                <w:sz w:val="24"/>
                <w:szCs w:val="24"/>
              </w:rPr>
            </w:pPr>
            <w:r>
              <w:rPr>
                <w:b w:val="1"/>
                <w:bCs w:val="1"/>
                <w:color w:val="ffffff"/>
                <w:sz w:val="24"/>
                <w:szCs w:val="24"/>
                <w:shd w:fill="006600" w:val="clear"/>
                <w:rtl w:val="0"/>
              </w:rPr>
              <w:t xml:space="preserve">SUMMARY OF COMMENTS AND COMPLIANCE</w:t>
            </w:r>
            <w:r>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29">
            <w:pPr>
              <w:widowControl w:val="1"/>
              <w:spacing w:after="60" w:lineRule="auto"/>
              <w:rPr>
                <w:sz w:val="24"/>
                <w:szCs w:val="24"/>
              </w:rPr>
            </w:pPr>
            <w:r>
              <w:rPr>
                <w:b w:val="1"/>
                <w:bCs w:val="1"/>
                <w:rtl w:val="0"/>
              </w:rPr>
              <w:t xml:space="preserve">Panelist</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2A">
            <w:pPr>
              <w:widowControl w:val="1"/>
              <w:spacing w:after="60" w:lineRule="auto"/>
              <w:rPr>
                <w:sz w:val="24"/>
                <w:szCs w:val="24"/>
              </w:rPr>
            </w:pPr>
            <w:r>
              <w:rPr>
                <w:b w:val="1"/>
                <w:bCs w:val="1"/>
                <w:rtl w:val="0"/>
              </w:rPr>
              <w:t xml:space="preserve">Comment / Question</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2B">
            <w:pPr>
              <w:widowControl w:val="1"/>
              <w:spacing w:after="60" w:lineRule="auto"/>
              <w:rPr>
                <w:sz w:val="24"/>
                <w:szCs w:val="24"/>
              </w:rPr>
            </w:pPr>
            <w:r>
              <w:rPr>
                <w:b w:val="1"/>
                <w:bCs w:val="1"/>
                <w:rtl w:val="0"/>
              </w:rPr>
              <w:t xml:space="preserve">Compliance</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2C">
            <w:pPr>
              <w:widowControl w:val="1"/>
              <w:spacing w:after="60" w:lineRule="auto"/>
              <w:rPr>
                <w:sz w:val="24"/>
                <w:szCs w:val="24"/>
              </w:rPr>
            </w:pPr>
            <w:r>
              <w:rPr>
                <w:b w:val="1"/>
                <w:bCs w:val="1"/>
                <w:rtl w:val="0"/>
              </w:rPr>
              <w:t xml:space="preserve">Remarks</w:t>
            </w:r>
            <w:r>
              <w:rPr>
                <w:rtl w:val="0"/>
              </w:rPr>
            </w:r>
          </w:p>
        </w:tc>
      </w:tr>
      <w:tr>
        <w:trPr>
          <w:cantSplit w:val="0"/>
          <w:tblHeader w:val="0"/>
        </w:trPr>
        <w:tc>
          <w:tcPr>
            <w:vMerge w:val="restart"/>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2D">
            <w:pPr>
              <w:widowControl w:val="1"/>
              <w:spacing w:after="60" w:lineRule="auto"/>
              <w:rPr>
                <w:sz w:val="24"/>
                <w:szCs w:val="24"/>
              </w:rPr>
            </w:pPr>
            <w:r>
              <w:rPr>
                <w:b w:val="1"/>
                <w:bCs w:val="1"/>
                <w:rtl w:val="0"/>
              </w:rPr>
              <w:t xml:space="preserve">Dr. Beau Gray Habal</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2E">
            <w:pPr>
              <w:widowControl w:val="1"/>
              <w:spacing w:after="60" w:lineRule="auto"/>
              <w:rPr>
                <w:sz w:val="24"/>
                <w:szCs w:val="24"/>
              </w:rPr>
            </w:pPr>
            <w:r>
              <w:rPr>
                <w:rtl w:val="0"/>
              </w:rPr>
              <w:t xml:space="preserve">In the system, add a search bar that accepts IDs in C-### format (e.g., C-001, C-042).</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2F">
            <w:pPr>
              <w:widowControl w:val="1"/>
              <w:spacing w:after="60" w:lineRule="auto"/>
              <w:rPr>
                <w:sz w:val="24"/>
                <w:szCs w:val="24"/>
              </w:rPr>
            </w:pPr>
            <w:r>
              <w:rPr>
                <w:rtl w:val="0"/>
              </w:rPr>
              <w:t xml:space="preserve">This was already implemented in the system prior to the defense. The client intake form enforces the C-### format with inline regex validation and includes an auto-generate button that assigns the next available sequential C-format ID.</w:t>
            </w:r>
          </w:p>
          <w:p w:rsidR="00000000" w:rsidDel="00000000" w:rsidP="00000000" w:rsidRDefault="00000000" w:rsidRPr="00000000" w14:paraId="00000030">
            <w:pPr>
              <w:widowControl w:val="1"/>
              <w:spacing w:before="40" w:lineRule="auto"/>
              <w:rPr>
                <w:sz w:val="24"/>
                <w:szCs w:val="24"/>
              </w:rPr>
            </w:pPr>
            <w:r>
              <w:rPr>
                <w:sz w:val="20"/>
                <w:szCs w:val="20"/>
                <w:rtl w:val="0"/>
              </w:rPr>
              <w:t xml:space="preserve">(System: Client Intake Module — Intake.jsx)</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031">
            <w:pPr>
              <w:widowControl w:val="1"/>
              <w:spacing w:after="60" w:lineRule="auto"/>
              <w:jc w:val="center"/>
              <w:rPr>
                <w:sz w:val="24"/>
                <w:szCs w:val="24"/>
              </w:rPr>
            </w:pPr>
            <w:r>
              <w:rPr>
                <w:b w:val="1"/>
                <w:bCs w:val="1"/>
                <w:rtl w:val="0"/>
              </w:rPr>
              <w:t xml:space="preserve">OK</w:t>
            </w:r>
            <w:r>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32">
            <w:pPr>
              <w:spacing w:line="276" w:lineRule="auto"/>
              <w:rPr>
                <w:rFonts w:ascii="Arial" w:cs="Arial" w:eastAsia="Arial" w:hAnsi="Arial"/>
                <w:sz w:val="20"/>
                <w:szCs w:val="20"/>
              </w:rPr>
            </w:pP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33">
            <w:pPr>
              <w:widowControl w:val="1"/>
              <w:spacing w:after="60" w:lineRule="auto"/>
              <w:rPr>
                <w:sz w:val="24"/>
                <w:szCs w:val="24"/>
              </w:rPr>
            </w:pPr>
            <w:r>
              <w:rPr>
                <w:rtl w:val="0"/>
              </w:rPr>
              <w:t xml:space="preserve">In the research gap, make a stronger justification — explicitly discuss existing digital phenotyping systems, keystroke-dynamics studies, and psychomotor assessment tools, and explain why they are insufficient for Philippine clinical settings.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34">
            <w:pPr>
              <w:widowControl w:val="1"/>
              <w:spacing w:after="60" w:lineRule="auto"/>
              <w:rPr>
                <w:sz w:val="24"/>
                <w:szCs w:val="24"/>
              </w:rPr>
            </w:pPr>
            <w:r>
              <w:rPr>
                <w:rtl w:val="0"/>
              </w:rPr>
              <w:t xml:space="preserve">A new paragraph has been added to Section 1.1 (Background of the Study) explicitly identifying three structural limitations of existing tools: (1) normative databases built exclusively from Western undergraduate samples with no locally validated Filipino psychomotor norms; (2) smartphone-based passive-monitoring systems requiring longitudinal data collection that is incompatible with single-session Philippine counseling contexts; and (3) machine-learning black-box pipelines that cannot satisfy clinical decision support transparency requirements. The paragraph explains how PsyClick addresses all three gaps through an ipsative within-session baseline, a structured 10–15 minute in-session protocol, and a fully auditable White Box pipeline from raw input to clinical flag.</w:t>
            </w:r>
          </w:p>
          <w:p w:rsidR="00000000" w:rsidDel="00000000" w:rsidP="00000000" w:rsidRDefault="00000000" w:rsidRPr="00000000" w14:paraId="00000035">
            <w:pPr>
              <w:widowControl w:val="1"/>
              <w:spacing w:before="40" w:lineRule="auto"/>
              <w:rPr>
                <w:sz w:val="24"/>
                <w:szCs w:val="24"/>
              </w:rPr>
            </w:pPr>
            <w:r>
              <w:rPr>
                <w:sz w:val="20"/>
                <w:szCs w:val="20"/>
                <w:rtl w:val="0"/>
              </w:rPr>
              <w:t xml:space="preserve">(Section 1.1 – Background of the Study)</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036">
            <w:pPr>
              <w:widowControl w:val="1"/>
              <w:spacing w:after="60" w:lineRule="auto"/>
              <w:jc w:val="center"/>
              <w:rPr>
                <w:sz w:val="24"/>
                <w:szCs w:val="24"/>
              </w:rPr>
            </w:pPr>
            <w:r>
              <w:rPr>
                <w:b w:val="1"/>
                <w:bCs w:val="1"/>
                <w:rtl w:val="0"/>
              </w:rPr>
              <w:t xml:space="preserve">OK</w:t>
            </w:r>
            <w:r>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37">
            <w:pPr>
              <w:spacing w:line="276" w:lineRule="auto"/>
              <w:rPr>
                <w:rFonts w:ascii="Arial" w:cs="Arial" w:eastAsia="Arial" w:hAnsi="Arial"/>
                <w:sz w:val="20"/>
                <w:szCs w:val="20"/>
              </w:rPr>
            </w:pP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38">
            <w:pPr>
              <w:widowControl w:val="1"/>
              <w:spacing w:after="60" w:lineRule="auto"/>
              <w:rPr>
                <w:sz w:val="24"/>
                <w:szCs w:val="24"/>
              </w:rPr>
            </w:pPr>
            <w:r>
              <w:rPr>
                <w:rtl w:val="0"/>
              </w:rPr>
              <w:t xml:space="preserve">Write in the limitations section that the study is pilot in nature and may not be ready for full diagnostic deployment because the clinical session sample size is insufficient.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39">
            <w:pPr>
              <w:widowControl w:val="1"/>
              <w:spacing w:after="60" w:lineRule="auto"/>
              <w:rPr>
                <w:sz w:val="24"/>
                <w:szCs w:val="24"/>
              </w:rPr>
            </w:pPr>
            <w:r>
              <w:rPr>
                <w:rtl w:val="0"/>
              </w:rPr>
              <w:t xml:space="preserve">A new paragraph has been added to Section 6.8 acknowledging that the 15-session clinical subsample is insufficient to support diagnostic sensitivity/specificity estimation, ROC analysis, or calibrated clinical decision thresholds for diagnosed populations. It states that full deployment as a clinical decision support instrument requires prospective validation with a minimum of n ≥ 50 per diagnostic category confirmed via structured clinical interview (e.g., SCID-5), and frames this as the highest-priority next step for future researchers.</w:t>
            </w:r>
          </w:p>
          <w:p w:rsidR="00000000" w:rsidDel="00000000" w:rsidP="00000000" w:rsidRDefault="00000000" w:rsidRPr="00000000" w14:paraId="0000003A">
            <w:pPr>
              <w:widowControl w:val="1"/>
              <w:spacing w:before="40" w:lineRule="auto"/>
              <w:rPr>
                <w:sz w:val="24"/>
                <w:szCs w:val="24"/>
              </w:rPr>
            </w:pPr>
            <w:r>
              <w:rPr>
                <w:sz w:val="20"/>
                <w:szCs w:val="20"/>
                <w:rtl w:val="0"/>
              </w:rPr>
              <w:t xml:space="preserve">(Section 6.8 – On the Clinical Utility of the Current Prototype)</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03B">
            <w:pPr>
              <w:widowControl w:val="1"/>
              <w:spacing w:after="60" w:lineRule="auto"/>
              <w:jc w:val="center"/>
              <w:rPr>
                <w:sz w:val="24"/>
                <w:szCs w:val="24"/>
              </w:rPr>
            </w:pPr>
            <w:r>
              <w:rPr>
                <w:b w:val="1"/>
                <w:bCs w:val="1"/>
                <w:rtl w:val="0"/>
              </w:rPr>
              <w:t xml:space="preserve">OK</w:t>
            </w:r>
            <w:r>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3C">
            <w:pPr>
              <w:spacing w:line="276" w:lineRule="auto"/>
              <w:rPr>
                <w:rFonts w:ascii="Arial" w:cs="Arial" w:eastAsia="Arial" w:hAnsi="Arial"/>
                <w:sz w:val="20"/>
                <w:szCs w:val="20"/>
              </w:rPr>
            </w:pP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3D">
            <w:pPr>
              <w:widowControl w:val="1"/>
              <w:spacing w:after="60" w:lineRule="auto"/>
              <w:rPr>
                <w:sz w:val="24"/>
                <w:szCs w:val="24"/>
              </w:rPr>
            </w:pPr>
            <w:r>
              <w:rPr>
                <w:rtl w:val="0"/>
              </w:rPr>
              <w:t xml:space="preserve">Add a stronger explanation about PHQ-9 and GAD-7 measuring symptom severity versus PsyClick measuring momentary psychomotor behavior. The near-zero correlation in the abstract must include a numerical value.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3E">
            <w:pPr>
              <w:widowControl w:val="1"/>
              <w:spacing w:after="60" w:lineRule="auto"/>
              <w:rPr>
                <w:sz w:val="24"/>
                <w:szCs w:val="24"/>
              </w:rPr>
            </w:pPr>
            <w:r>
              <w:rPr>
                <w:rtl w:val="0"/>
              </w:rPr>
              <w:t xml:space="preserve">The Abstract has been updated to include exact numerical correlation coefficients (T²–PHQ-9: r = −0.024; PSI–PHQ-9: r = 0.058; PAI–GAD-7: r = −0.041; all p &gt; .10). A new explanatory paragraph has been added to Section 5.2.5 clarifying construct orthogonality: PHQ-9 and GAD-7 are trait-level, two-week recall instruments measuring cumulative symptom burden, while T², PSI, and PAI are state-level, within-session deviation measures — making near-zero correlation expected by design, not a validity failure. The analogy of resting heart rate (trait) versus exercise-induced heart rate variability (state) is used to illustrate the distinction.</w:t>
            </w:r>
          </w:p>
          <w:p w:rsidR="00000000" w:rsidDel="00000000" w:rsidP="00000000" w:rsidRDefault="00000000" w:rsidRPr="00000000" w14:paraId="0000003F">
            <w:pPr>
              <w:widowControl w:val="1"/>
              <w:spacing w:before="40" w:lineRule="auto"/>
              <w:rPr>
                <w:sz w:val="24"/>
                <w:szCs w:val="24"/>
              </w:rPr>
            </w:pPr>
            <w:r>
              <w:rPr>
                <w:sz w:val="20"/>
                <w:szCs w:val="20"/>
                <w:rtl w:val="0"/>
              </w:rPr>
              <w:t xml:space="preserve">(Abstract; Section 5.2.5 – Convergent Validity and Software Quality)</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040">
            <w:pPr>
              <w:widowControl w:val="1"/>
              <w:spacing w:after="60" w:lineRule="auto"/>
              <w:jc w:val="center"/>
              <w:rPr>
                <w:sz w:val="24"/>
                <w:szCs w:val="24"/>
              </w:rPr>
            </w:pPr>
            <w:r>
              <w:rPr>
                <w:b w:val="1"/>
                <w:bCs w:val="1"/>
                <w:rtl w:val="0"/>
              </w:rPr>
              <w:t xml:space="preserve">OK</w:t>
            </w:r>
            <w:r>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41">
            <w:pPr>
              <w:spacing w:line="276" w:lineRule="auto"/>
              <w:rPr>
                <w:rFonts w:ascii="Arial" w:cs="Arial" w:eastAsia="Arial" w:hAnsi="Arial"/>
                <w:sz w:val="20"/>
                <w:szCs w:val="20"/>
              </w:rPr>
            </w:pP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42">
            <w:pPr>
              <w:widowControl w:val="1"/>
              <w:spacing w:after="60" w:lineRule="auto"/>
              <w:rPr>
                <w:sz w:val="24"/>
                <w:szCs w:val="24"/>
              </w:rPr>
            </w:pPr>
            <w:r>
              <w:rPr>
                <w:rtl w:val="0"/>
              </w:rPr>
              <w:t xml:space="preserve">Write in the recommendations section that future researchers should conduct an ablation study first, given the complexity and interdependency of the multi-component methodology.</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43">
            <w:pPr>
              <w:widowControl w:val="1"/>
              <w:spacing w:after="60" w:lineRule="auto"/>
              <w:rPr>
                <w:sz w:val="24"/>
                <w:szCs w:val="24"/>
              </w:rPr>
            </w:pPr>
            <w:r>
              <w:rPr>
                <w:rtl w:val="0"/>
              </w:rPr>
              <w:t xml:space="preserve">A new Section 6.9 (Ablation Studies and Feature Selection Validation) has been added to the Recommendations chapter. It advises future researchers to conduct systematic feature ablation experiments — removing one biomarker at a time from the T² model and measuring the resulting change in sensitivity, specificity, and Cohen’s kappa — to determine whether the cursor-dynamics subsystem provides statistically independent additive signal beyond the keystroke subsystem alone, and whether a reduced feature model could achieve equivalent clinical discrimination with lower computational overhead.</w:t>
            </w:r>
          </w:p>
          <w:p w:rsidR="00000000" w:rsidDel="00000000" w:rsidP="00000000" w:rsidRDefault="00000000" w:rsidRPr="00000000" w14:paraId="00000044">
            <w:pPr>
              <w:widowControl w:val="1"/>
              <w:spacing w:before="40" w:lineRule="auto"/>
              <w:rPr>
                <w:sz w:val="24"/>
                <w:szCs w:val="24"/>
              </w:rPr>
            </w:pPr>
            <w:r>
              <w:rPr>
                <w:sz w:val="20"/>
                <w:szCs w:val="20"/>
                <w:rtl w:val="0"/>
              </w:rPr>
              <w:t xml:space="preserve">(Section 6.9 – Ablation Studies and Feature Selection Validation)</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045">
            <w:pPr>
              <w:widowControl w:val="1"/>
              <w:spacing w:after="60" w:lineRule="auto"/>
              <w:jc w:val="center"/>
              <w:rPr>
                <w:sz w:val="24"/>
                <w:szCs w:val="24"/>
              </w:rPr>
            </w:pPr>
            <w:r>
              <w:rPr>
                <w:b w:val="1"/>
                <w:bCs w:val="1"/>
                <w:rtl w:val="0"/>
              </w:rPr>
              <w:t xml:space="preserve">OK</w:t>
            </w:r>
            <w:r>
              <w:rPr>
                <w:rtl w:val="0"/>
              </w:rPr>
            </w:r>
          </w:p>
        </w:tc>
      </w:tr>
      <w:tr>
        <w:trPr>
          <w:cantSplit w:val="0"/>
          <w:tblHeader w:val="0"/>
        </w:trPr>
        <w:tc>
          <w:tcPr>
            <w:gridSpan w:val="4"/>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46">
            <w:pPr>
              <w:widowControl w:val="1"/>
              <w:spacing w:after="60" w:lineRule="auto"/>
              <w:rPr>
                <w:sz w:val="24"/>
                <w:szCs w:val="24"/>
              </w:rPr>
            </w:pPr>
            <w:r>
              <w:rPr>
                <w:b w:val="1"/>
                <w:bCs w:val="1"/>
                <w:rtl w:val="0"/>
              </w:rPr>
              <w:t xml:space="preserve">Panel's Signature:   _______________________________</w:t>
            </w:r>
            <w:r>
              <w:rPr>
                <w:rtl w:val="0"/>
              </w:rPr>
            </w:r>
          </w:p>
        </w:tc>
      </w:tr>
      <w:tr>
        <w:trPr>
          <w:cantSplit w:val="0"/>
          <w:tblHeader w:val="0"/>
        </w:trPr>
        <w:tc>
          <w:tcPr>
            <w:gridSpan w:val="4"/>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4A">
            <w:pPr>
              <w:widowControl w:val="1"/>
              <w:spacing w:after="60" w:lineRule="auto"/>
              <w:rPr>
                <w:sz w:val="24"/>
                <w:szCs w:val="24"/>
              </w:rPr>
            </w:pPr>
            <w:r>
              <w:rPr>
                <w:b w:val="1"/>
                <w:bCs w:val="1"/>
                <w:sz w:val="24"/>
                <w:szCs w:val="24"/>
                <w:rtl w:val="0"/>
              </w:rPr>
              <w:t xml:space="preserve">Panelist: Dr. Jennifer O. Contreras</w:t>
            </w:r>
            <w:r>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4E">
            <w:pPr>
              <w:widowControl w:val="1"/>
              <w:spacing w:after="60" w:lineRule="auto"/>
              <w:rPr>
                <w:sz w:val="24"/>
                <w:szCs w:val="24"/>
              </w:rPr>
            </w:pPr>
            <w:r>
              <w:rPr>
                <w:b w:val="1"/>
                <w:bCs w:val="1"/>
                <w:rtl w:val="0"/>
              </w:rPr>
              <w:t xml:space="preserve">Panelist</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4F">
            <w:pPr>
              <w:widowControl w:val="1"/>
              <w:spacing w:after="60" w:lineRule="auto"/>
              <w:rPr>
                <w:sz w:val="24"/>
                <w:szCs w:val="24"/>
              </w:rPr>
            </w:pPr>
            <w:r>
              <w:rPr>
                <w:b w:val="1"/>
                <w:bCs w:val="1"/>
                <w:rtl w:val="0"/>
              </w:rPr>
              <w:t xml:space="preserve">Comment / Question</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50">
            <w:pPr>
              <w:widowControl w:val="1"/>
              <w:spacing w:after="60" w:lineRule="auto"/>
              <w:rPr>
                <w:sz w:val="24"/>
                <w:szCs w:val="24"/>
              </w:rPr>
            </w:pPr>
            <w:r>
              <w:rPr>
                <w:b w:val="1"/>
                <w:bCs w:val="1"/>
                <w:rtl w:val="0"/>
              </w:rPr>
              <w:t xml:space="preserve">Compliance</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51">
            <w:pPr>
              <w:widowControl w:val="1"/>
              <w:spacing w:after="60" w:lineRule="auto"/>
              <w:rPr>
                <w:sz w:val="24"/>
                <w:szCs w:val="24"/>
              </w:rPr>
            </w:pPr>
            <w:r>
              <w:rPr>
                <w:b w:val="1"/>
                <w:bCs w:val="1"/>
                <w:rtl w:val="0"/>
              </w:rPr>
              <w:t xml:space="preserve">Remarks</w:t>
            </w:r>
            <w:r>
              <w:rPr>
                <w:rtl w:val="0"/>
              </w:rPr>
            </w:r>
          </w:p>
        </w:tc>
      </w:tr>
      <w:tr>
        <w:trPr>
          <w:cantSplit w:val="0"/>
          <w:tblHeader w:val="0"/>
        </w:trPr>
        <w:tc>
          <w:tcPr>
            <w:vMerge w:val="restart"/>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52">
            <w:pPr>
              <w:widowControl w:val="1"/>
              <w:spacing w:after="60" w:lineRule="auto"/>
              <w:rPr>
                <w:sz w:val="24"/>
                <w:szCs w:val="24"/>
              </w:rPr>
            </w:pPr>
            <w:r>
              <w:rPr>
                <w:b w:val="1"/>
                <w:bCs w:val="1"/>
                <w:rtl w:val="0"/>
              </w:rPr>
              <w:t xml:space="preserve">Dr. Jennifer O. Contreras</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3">
            <w:pPr>
              <w:widowControl w:val="1"/>
              <w:spacing w:after="60" w:lineRule="auto"/>
              <w:rPr>
                <w:sz w:val="24"/>
                <w:szCs w:val="24"/>
              </w:rPr>
            </w:pPr>
            <w:r>
              <w:rPr>
                <w:rtl w:val="0"/>
              </w:rPr>
              <w:t xml:space="preserve">Why did you choose only these 8 biomarkers? What scientific evidence supports their relevance to psychomotor disturbance detection?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4">
            <w:pPr>
              <w:widowControl w:val="1"/>
              <w:spacing w:after="60" w:lineRule="auto"/>
              <w:rPr>
                <w:sz w:val="24"/>
                <w:szCs w:val="24"/>
              </w:rPr>
            </w:pPr>
            <w:r>
              <w:rPr>
                <w:rtl w:val="0"/>
              </w:rPr>
              <w:t xml:space="preserve">The rationale for the 8 biomarkers was already grounded in peer-reviewed literature cited in the manuscript. The manuscript has been reviewed to ensure each feature's clinical literature basis is explicitly cited — linking flight time and dwell time to motor slowing in depression studies, and cursor jerk, path entropy, and error rate to agitation and cognitive load markers.</w:t>
            </w:r>
          </w:p>
          <w:p w:rsidR="00000000" w:rsidDel="00000000" w:rsidP="00000000" w:rsidRDefault="00000000" w:rsidRPr="00000000" w14:paraId="00000055">
            <w:pPr>
              <w:widowControl w:val="1"/>
              <w:spacing w:before="40" w:lineRule="auto"/>
              <w:rPr>
                <w:sz w:val="24"/>
                <w:szCs w:val="24"/>
              </w:rPr>
            </w:pPr>
            <w:r>
              <w:rPr>
                <w:sz w:val="20"/>
                <w:szCs w:val="20"/>
                <w:rtl w:val="0"/>
              </w:rPr>
              <w:t xml:space="preserve">(Section 3.4 – Feature Extraction)</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056">
            <w:pPr>
              <w:widowControl w:val="1"/>
              <w:spacing w:after="60" w:lineRule="auto"/>
              <w:jc w:val="center"/>
              <w:rPr>
                <w:sz w:val="24"/>
                <w:szCs w:val="24"/>
              </w:rPr>
            </w:pPr>
            <w:r>
              <w:rPr>
                <w:b w:val="1"/>
                <w:bCs w:val="1"/>
                <w:rtl w:val="0"/>
              </w:rPr>
              <w:t xml:space="preserve">OK</w:t>
            </w:r>
            <w:r>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7">
            <w:pPr>
              <w:spacing w:line="276" w:lineRule="auto"/>
              <w:rPr>
                <w:rFonts w:ascii="Arial" w:cs="Arial" w:eastAsia="Arial" w:hAnsi="Arial"/>
                <w:sz w:val="20"/>
                <w:szCs w:val="20"/>
              </w:rPr>
            </w:pP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8">
            <w:pPr>
              <w:widowControl w:val="1"/>
              <w:spacing w:after="60" w:lineRule="auto"/>
              <w:rPr>
                <w:sz w:val="24"/>
                <w:szCs w:val="24"/>
              </w:rPr>
            </w:pPr>
            <w:r>
              <w:rPr>
                <w:rtl w:val="0"/>
              </w:rPr>
              <w:t xml:space="preserve">How did you determine that these biomarkers are the most discriminative features? Did you perform feature selection or correlation analysis?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9">
            <w:pPr>
              <w:widowControl w:val="1"/>
              <w:spacing w:after="60" w:lineRule="auto"/>
              <w:rPr>
                <w:sz w:val="24"/>
                <w:szCs w:val="24"/>
              </w:rPr>
            </w:pPr>
            <w:r>
              <w:rPr>
                <w:rtl w:val="0"/>
              </w:rPr>
              <w:t xml:space="preserve">Formal automated feature selection (e.g., LASSO, recursive feature elimination, PCA) was not performed. Feature selection was domain-guided, grounded in psychomotor and digital phenotyping literature (Moussa-Tooks et al., 2024; Fritze et al., 2025; Subash et al., 2025). A new paragraph explicitly acknowledging this as a methodological limitation has been added to Section 4.3.1, noting that a reduced feature subset may achieve comparable sensitivity and directing future researchers to systematic ablation analyses (see Section 6.9).</w:t>
            </w:r>
          </w:p>
          <w:p w:rsidR="00000000" w:rsidDel="00000000" w:rsidP="00000000" w:rsidRDefault="00000000" w:rsidRPr="00000000" w14:paraId="0000005A">
            <w:pPr>
              <w:widowControl w:val="1"/>
              <w:spacing w:before="40" w:lineRule="auto"/>
              <w:rPr>
                <w:sz w:val="24"/>
                <w:szCs w:val="24"/>
              </w:rPr>
            </w:pPr>
            <w:r>
              <w:rPr>
                <w:sz w:val="20"/>
                <w:szCs w:val="20"/>
                <w:rtl w:val="0"/>
              </w:rPr>
              <w:t xml:space="preserve">(Section 4.3.1 – Feature Extraction Results)</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05B">
            <w:pPr>
              <w:widowControl w:val="1"/>
              <w:spacing w:after="60" w:lineRule="auto"/>
              <w:jc w:val="center"/>
              <w:rPr>
                <w:sz w:val="24"/>
                <w:szCs w:val="24"/>
              </w:rPr>
            </w:pPr>
            <w:r>
              <w:rPr>
                <w:b w:val="1"/>
                <w:bCs w:val="1"/>
                <w:rtl w:val="0"/>
              </w:rPr>
              <w:t xml:space="preserve">OK</w:t>
            </w:r>
            <w:r>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C">
            <w:pPr>
              <w:spacing w:line="276" w:lineRule="auto"/>
              <w:rPr>
                <w:rFonts w:ascii="Arial" w:cs="Arial" w:eastAsia="Arial" w:hAnsi="Arial"/>
                <w:sz w:val="20"/>
                <w:szCs w:val="20"/>
              </w:rPr>
            </w:pP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D">
            <w:pPr>
              <w:widowControl w:val="1"/>
              <w:spacing w:after="60" w:lineRule="auto"/>
              <w:rPr>
                <w:sz w:val="24"/>
                <w:szCs w:val="24"/>
              </w:rPr>
            </w:pPr>
            <w:r>
              <w:rPr>
                <w:rtl w:val="0"/>
              </w:rPr>
              <w:t xml:space="preserve">How can you prove that the detected psychomotor disturbance is due to user behavior rather than hardware-induced timing noise?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5E">
            <w:pPr>
              <w:widowControl w:val="1"/>
              <w:spacing w:after="60" w:lineRule="auto"/>
              <w:rPr>
                <w:sz w:val="24"/>
                <w:szCs w:val="24"/>
              </w:rPr>
            </w:pPr>
            <w:r>
              <w:rPr>
                <w:rtl w:val="0"/>
              </w:rPr>
              <w:t xml:space="preserve">This was already addressed from the initial system design. A Gaussian-weighted sliding window WMA (5-tap kernel) is applied to cursor data in the feature extractor, attenuating noise above 8 Hz while preserving clinically relevant hesitation patterns below 2 Hz — cited to Winter (2009). The EWMA's adaptive covariance also absorbs hardware-consistent noise into the session baseline, so stable device-level artifacts do not inflate T² scores.</w:t>
            </w:r>
          </w:p>
          <w:p w:rsidR="00000000" w:rsidDel="00000000" w:rsidP="00000000" w:rsidRDefault="00000000" w:rsidRPr="00000000" w14:paraId="0000005F">
            <w:pPr>
              <w:widowControl w:val="1"/>
              <w:spacing w:before="40" w:lineRule="auto"/>
              <w:rPr>
                <w:sz w:val="24"/>
                <w:szCs w:val="24"/>
              </w:rPr>
            </w:pPr>
            <w:r>
              <w:rPr>
                <w:sz w:val="20"/>
                <w:szCs w:val="20"/>
                <w:rtl w:val="0"/>
              </w:rPr>
              <w:t xml:space="preserve">(Section 3.3 / feature_extractor.py – Stage 1 WMA)</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060">
            <w:pPr>
              <w:widowControl w:val="1"/>
              <w:spacing w:after="60" w:lineRule="auto"/>
              <w:jc w:val="center"/>
              <w:rPr>
                <w:sz w:val="24"/>
                <w:szCs w:val="24"/>
              </w:rPr>
            </w:pPr>
            <w:r>
              <w:rPr>
                <w:b w:val="1"/>
                <w:bCs w:val="1"/>
                <w:rtl w:val="0"/>
              </w:rPr>
              <w:t xml:space="preserve">OK</w:t>
            </w:r>
            <w:r>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1">
            <w:pPr>
              <w:spacing w:line="276" w:lineRule="auto"/>
              <w:rPr>
                <w:rFonts w:ascii="Arial" w:cs="Arial" w:eastAsia="Arial" w:hAnsi="Arial"/>
                <w:sz w:val="20"/>
                <w:szCs w:val="20"/>
              </w:rPr>
            </w:pP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2">
            <w:pPr>
              <w:widowControl w:val="1"/>
              <w:spacing w:after="60" w:lineRule="auto"/>
              <w:rPr>
                <w:sz w:val="24"/>
                <w:szCs w:val="24"/>
              </w:rPr>
            </w:pPr>
            <w:r>
              <w:rPr>
                <w:rtl w:val="0"/>
              </w:rPr>
              <w:t xml:space="preserve">Would your algorithm still perform reliably on low-end computers with inconsistent polling rates?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3">
            <w:pPr>
              <w:widowControl w:val="1"/>
              <w:spacing w:after="60" w:lineRule="auto"/>
              <w:rPr>
                <w:sz w:val="24"/>
                <w:szCs w:val="24"/>
              </w:rPr>
            </w:pPr>
            <w:r>
              <w:rPr>
                <w:rtl w:val="0"/>
              </w:rPr>
              <w:t xml:space="preserve">Hardware reliability considerations were already part of the testing environment specification. The 8 Hz signal ceiling and EWMA adaptive baseline together make the feature values robust to polling rate variability, as features are derived from inter-event timing ratios rather than absolute counts. Cross-device testing was already included in the evaluation protocol.</w:t>
            </w:r>
          </w:p>
          <w:p w:rsidR="00000000" w:rsidDel="00000000" w:rsidP="00000000" w:rsidRDefault="00000000" w:rsidRPr="00000000" w14:paraId="00000064">
            <w:pPr>
              <w:widowControl w:val="1"/>
              <w:spacing w:before="40" w:lineRule="auto"/>
              <w:rPr>
                <w:sz w:val="24"/>
                <w:szCs w:val="24"/>
              </w:rPr>
            </w:pPr>
            <w:r>
              <w:rPr>
                <w:sz w:val="20"/>
                <w:szCs w:val="20"/>
                <w:rtl w:val="0"/>
              </w:rPr>
              <w:t xml:space="preserve">(Section 3.8.4 – Hardware Standardization)</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065">
            <w:pPr>
              <w:widowControl w:val="1"/>
              <w:spacing w:after="60" w:lineRule="auto"/>
              <w:jc w:val="center"/>
              <w:rPr>
                <w:sz w:val="24"/>
                <w:szCs w:val="24"/>
              </w:rPr>
            </w:pPr>
            <w:r>
              <w:rPr>
                <w:b w:val="1"/>
                <w:bCs w:val="1"/>
                <w:rtl w:val="0"/>
              </w:rPr>
              <w:t xml:space="preserve">OK</w:t>
            </w:r>
            <w:r>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6">
            <w:pPr>
              <w:spacing w:line="276" w:lineRule="auto"/>
              <w:rPr>
                <w:rFonts w:ascii="Arial" w:cs="Arial" w:eastAsia="Arial" w:hAnsi="Arial"/>
                <w:sz w:val="20"/>
                <w:szCs w:val="20"/>
              </w:rPr>
            </w:pP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7">
            <w:pPr>
              <w:widowControl w:val="1"/>
              <w:spacing w:after="60" w:lineRule="auto"/>
              <w:rPr>
                <w:sz w:val="24"/>
                <w:szCs w:val="24"/>
              </w:rPr>
            </w:pPr>
            <w:r>
              <w:rPr>
                <w:rtl w:val="0"/>
              </w:rPr>
              <w:t xml:space="preserve">You stated that signals above 8 Hz are attenuated. How did you determine that frequencies above 8 Hz are noise and not clinically relevant motor behavior?</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8">
            <w:pPr>
              <w:widowControl w:val="1"/>
              <w:spacing w:after="60" w:lineRule="auto"/>
              <w:rPr>
                <w:sz w:val="24"/>
                <w:szCs w:val="24"/>
              </w:rPr>
            </w:pPr>
            <w:r>
              <w:rPr>
                <w:rtl w:val="0"/>
              </w:rPr>
              <w:t xml:space="preserve">The 8 Hz cutoff was already justified in the manuscript with reference to neurophysiological evidence that voluntary fine motor control in human fingers operates in the 0–8 Hz frequency band (Winter, 2009). Tremor above 8 Hz is characteristic of pathological rather than deliberate psychomotor behavior and is not a target of this study's clinical constructs.</w:t>
            </w:r>
          </w:p>
          <w:p w:rsidR="00000000" w:rsidDel="00000000" w:rsidP="00000000" w:rsidRDefault="00000000" w:rsidRPr="00000000" w14:paraId="00000069">
            <w:pPr>
              <w:widowControl w:val="1"/>
              <w:spacing w:before="40" w:lineRule="auto"/>
              <w:rPr>
                <w:sz w:val="24"/>
                <w:szCs w:val="24"/>
              </w:rPr>
            </w:pPr>
            <w:r>
              <w:rPr>
                <w:sz w:val="20"/>
                <w:szCs w:val="20"/>
                <w:rtl w:val="0"/>
              </w:rPr>
              <w:t xml:space="preserve">(Section 3.3 – Signal Processing)</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06A">
            <w:pPr>
              <w:widowControl w:val="1"/>
              <w:spacing w:after="60" w:lineRule="auto"/>
              <w:jc w:val="center"/>
              <w:rPr>
                <w:sz w:val="24"/>
                <w:szCs w:val="24"/>
              </w:rPr>
            </w:pPr>
            <w:r>
              <w:rPr>
                <w:b w:val="1"/>
                <w:bCs w:val="1"/>
                <w:rtl w:val="0"/>
              </w:rPr>
              <w:t xml:space="preserve">OK</w:t>
            </w:r>
            <w:r>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B">
            <w:pPr>
              <w:spacing w:line="276" w:lineRule="auto"/>
              <w:rPr>
                <w:rFonts w:ascii="Arial" w:cs="Arial" w:eastAsia="Arial" w:hAnsi="Arial"/>
                <w:sz w:val="20"/>
                <w:szCs w:val="20"/>
              </w:rPr>
            </w:pP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C">
            <w:pPr>
              <w:widowControl w:val="1"/>
              <w:spacing w:after="60" w:lineRule="auto"/>
              <w:rPr>
                <w:sz w:val="24"/>
                <w:szCs w:val="24"/>
              </w:rPr>
            </w:pPr>
            <w:r>
              <w:rPr>
                <w:rtl w:val="0"/>
              </w:rPr>
              <w:t xml:space="preserve">EWMA Baseline Construction: Can a single-session baseline reliably represent an individual's normal psychomotor state?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6D">
            <w:pPr>
              <w:widowControl w:val="1"/>
              <w:spacing w:after="60" w:lineRule="auto"/>
              <w:rPr>
                <w:sz w:val="24"/>
                <w:szCs w:val="24"/>
              </w:rPr>
            </w:pPr>
            <w:r>
              <w:rPr>
                <w:rtl w:val="0"/>
              </w:rPr>
              <w:t xml:space="preserve">This limitation was already acknowledged and architecturally addressed from the design stage. The hybrid T² (50% within-session EWMA + 50% normative population baseline) was specifically designed so that even if the intra-session baseline is noisy in early prompts, the normative component provides a stable population-referenced anchor. The cold-start artifact on the first prompt is also documented and addressed.</w:t>
            </w:r>
          </w:p>
          <w:p w:rsidR="00000000" w:rsidDel="00000000" w:rsidP="00000000" w:rsidRDefault="00000000" w:rsidRPr="00000000" w14:paraId="0000006E">
            <w:pPr>
              <w:widowControl w:val="1"/>
              <w:spacing w:before="40" w:lineRule="auto"/>
              <w:rPr>
                <w:sz w:val="24"/>
                <w:szCs w:val="24"/>
              </w:rPr>
            </w:pPr>
            <w:r>
              <w:rPr>
                <w:sz w:val="20"/>
                <w:szCs w:val="20"/>
                <w:rtl w:val="0"/>
              </w:rPr>
              <w:t xml:space="preserve">(Section 3.5.2 – Anomaly Detection)</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06F">
            <w:pPr>
              <w:widowControl w:val="1"/>
              <w:spacing w:after="60" w:lineRule="auto"/>
              <w:jc w:val="center"/>
              <w:rPr>
                <w:sz w:val="24"/>
                <w:szCs w:val="24"/>
              </w:rPr>
            </w:pPr>
            <w:r>
              <w:rPr>
                <w:b w:val="1"/>
                <w:bCs w:val="1"/>
                <w:rtl w:val="0"/>
              </w:rPr>
              <w:t xml:space="preserve">OK</w:t>
            </w:r>
            <w:r>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0">
            <w:pPr>
              <w:spacing w:line="276" w:lineRule="auto"/>
              <w:rPr>
                <w:rFonts w:ascii="Arial" w:cs="Arial" w:eastAsia="Arial" w:hAnsi="Arial"/>
                <w:sz w:val="20"/>
                <w:szCs w:val="20"/>
              </w:rPr>
            </w:pP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1">
            <w:pPr>
              <w:widowControl w:val="1"/>
              <w:spacing w:after="60" w:lineRule="auto"/>
              <w:rPr>
                <w:sz w:val="24"/>
                <w:szCs w:val="24"/>
              </w:rPr>
            </w:pPr>
            <w:r>
              <w:rPr>
                <w:rtl w:val="0"/>
              </w:rPr>
              <w:t xml:space="preserve">If the baseline itself is contaminated by fatigue, anxiety, or distraction, how will your system avoid generating false positives?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2">
            <w:pPr>
              <w:widowControl w:val="1"/>
              <w:spacing w:after="60" w:lineRule="auto"/>
              <w:rPr>
                <w:sz w:val="24"/>
                <w:szCs w:val="24"/>
              </w:rPr>
            </w:pPr>
            <w:r>
              <w:rPr>
                <w:rtl w:val="0"/>
              </w:rPr>
              <w:t xml:space="preserve">The hybrid 50/50 architecture was already the design solution to this concern. The normative population component (pre-established from 102 clean healthy-tester sessions) is unaffected by within-session contamination. The EWMA's λ = 0.2 parameter also down-weights the most recent observations, limiting the influence of any single anomalous measurement on the baseline.</w:t>
            </w:r>
          </w:p>
          <w:p w:rsidR="00000000" w:rsidDel="00000000" w:rsidP="00000000" w:rsidRDefault="00000000" w:rsidRPr="00000000" w14:paraId="00000073">
            <w:pPr>
              <w:widowControl w:val="1"/>
              <w:spacing w:before="40" w:lineRule="auto"/>
              <w:rPr>
                <w:sz w:val="24"/>
                <w:szCs w:val="24"/>
              </w:rPr>
            </w:pPr>
            <w:r>
              <w:rPr>
                <w:sz w:val="20"/>
                <w:szCs w:val="20"/>
                <w:rtl w:val="0"/>
              </w:rPr>
              <w:t xml:space="preserve">(Section 3.5.2 – Anomaly Detection / anomaly_engine.py)</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074">
            <w:pPr>
              <w:widowControl w:val="1"/>
              <w:spacing w:after="60" w:lineRule="auto"/>
              <w:jc w:val="center"/>
              <w:rPr>
                <w:sz w:val="24"/>
                <w:szCs w:val="24"/>
              </w:rPr>
            </w:pPr>
            <w:r>
              <w:rPr>
                <w:b w:val="1"/>
                <w:bCs w:val="1"/>
                <w:rtl w:val="0"/>
              </w:rPr>
              <w:t xml:space="preserve">OK</w:t>
            </w:r>
            <w:r>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5">
            <w:pPr>
              <w:spacing w:line="276" w:lineRule="auto"/>
              <w:rPr>
                <w:rFonts w:ascii="Arial" w:cs="Arial" w:eastAsia="Arial" w:hAnsi="Arial"/>
                <w:sz w:val="20"/>
                <w:szCs w:val="20"/>
              </w:rPr>
            </w:pP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6">
            <w:pPr>
              <w:widowControl w:val="1"/>
              <w:spacing w:after="60" w:lineRule="auto"/>
              <w:rPr>
                <w:sz w:val="24"/>
                <w:szCs w:val="24"/>
              </w:rPr>
            </w:pPr>
            <w:r>
              <w:rPr>
                <w:rtl w:val="0"/>
              </w:rPr>
              <w:t xml:space="preserve">What evidence supports that cursor dynamics provide additional predictive power beyond keystroke dynamics alone?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7">
            <w:pPr>
              <w:widowControl w:val="1"/>
              <w:spacing w:after="60" w:lineRule="auto"/>
              <w:rPr>
                <w:sz w:val="24"/>
                <w:szCs w:val="24"/>
              </w:rPr>
            </w:pPr>
            <w:r>
              <w:rPr>
                <w:rtl w:val="0"/>
              </w:rPr>
              <w:t xml:space="preserve">The inclusion of cursor dynamics (path entropy, cursor velocity, jerk) alongside keystroke features was already justified in the manuscript. Their additive value is grounded in the complementary construct coverage: keystroke features primarily capture motor timing patterns, while cursor features capture spatial coordination and agitation-type psychomotor behavior not reflected in key presses alone.</w:t>
            </w:r>
          </w:p>
          <w:p w:rsidR="00000000" w:rsidDel="00000000" w:rsidP="00000000" w:rsidRDefault="00000000" w:rsidRPr="00000000" w14:paraId="00000078">
            <w:pPr>
              <w:widowControl w:val="1"/>
              <w:spacing w:before="40" w:lineRule="auto"/>
              <w:rPr>
                <w:sz w:val="24"/>
                <w:szCs w:val="24"/>
              </w:rPr>
            </w:pPr>
            <w:r>
              <w:rPr>
                <w:sz w:val="20"/>
                <w:szCs w:val="20"/>
                <w:rtl w:val="0"/>
              </w:rPr>
              <w:t xml:space="preserve">(Section 3.4 – Feature Extraction)</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079">
            <w:pPr>
              <w:widowControl w:val="1"/>
              <w:spacing w:after="60" w:lineRule="auto"/>
              <w:jc w:val="center"/>
              <w:rPr>
                <w:sz w:val="24"/>
                <w:szCs w:val="24"/>
              </w:rPr>
            </w:pPr>
            <w:r>
              <w:rPr>
                <w:b w:val="1"/>
                <w:bCs w:val="1"/>
                <w:rtl w:val="0"/>
              </w:rPr>
              <w:t xml:space="preserve">OK</w:t>
            </w:r>
            <w:r>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A">
            <w:pPr>
              <w:spacing w:line="276" w:lineRule="auto"/>
              <w:rPr>
                <w:rFonts w:ascii="Arial" w:cs="Arial" w:eastAsia="Arial" w:hAnsi="Arial"/>
                <w:sz w:val="20"/>
                <w:szCs w:val="20"/>
              </w:rPr>
            </w:pP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B">
            <w:pPr>
              <w:widowControl w:val="1"/>
              <w:spacing w:after="60" w:lineRule="auto"/>
              <w:rPr>
                <w:sz w:val="24"/>
                <w:szCs w:val="24"/>
              </w:rPr>
            </w:pPr>
            <w:r>
              <w:rPr>
                <w:rtl w:val="0"/>
              </w:rPr>
              <w:t xml:space="preserve">Hotelling's T² assumes multivariate normality. Did you test this assumption, and what happens if your data violate it?</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C">
            <w:pPr>
              <w:widowControl w:val="1"/>
              <w:spacing w:after="60" w:lineRule="auto"/>
              <w:rPr>
                <w:sz w:val="24"/>
                <w:szCs w:val="24"/>
              </w:rPr>
            </w:pPr>
            <w:r>
              <w:rPr>
                <w:rtl w:val="0"/>
              </w:rPr>
              <w:t xml:space="preserve">A new paragraph has been added to Section 4.3.4 addressing the multivariate normality assumption. It explains that formal testing via Mardia’s test was not conducted, but that the ipsative EWMA architecture mitigates this concern because the relevant distributional object is the within-session deviation vector rather than the population-level feature distribution. It clarifies that the adaptive F-distribution threshold at α = 0.05 supersedes the earlier prototype’s fixed 1.5× IQR multiplier, providing a statistically principled significance boundary. The role of the Ledoit-Wolf estimator in stabilizing the covariance estimate (without directly correcting for non-normality) is also explained. Future studies are directed to apply Mardia’s or Henze-Zirkler’s test on larger clinical samples.</w:t>
            </w:r>
          </w:p>
          <w:p w:rsidR="00000000" w:rsidDel="00000000" w:rsidP="00000000" w:rsidRDefault="00000000" w:rsidRPr="00000000" w14:paraId="0000007D">
            <w:pPr>
              <w:widowControl w:val="1"/>
              <w:spacing w:before="40" w:lineRule="auto"/>
              <w:rPr>
                <w:sz w:val="24"/>
                <w:szCs w:val="24"/>
              </w:rPr>
            </w:pPr>
            <w:r>
              <w:rPr>
                <w:sz w:val="20"/>
                <w:szCs w:val="20"/>
                <w:rtl w:val="0"/>
              </w:rPr>
              <w:t xml:space="preserve">(Section 4.3.4 – Discussion)</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07E">
            <w:pPr>
              <w:widowControl w:val="1"/>
              <w:spacing w:after="60" w:lineRule="auto"/>
              <w:jc w:val="center"/>
              <w:rPr>
                <w:sz w:val="24"/>
                <w:szCs w:val="24"/>
              </w:rPr>
            </w:pPr>
            <w:r>
              <w:rPr>
                <w:b w:val="1"/>
                <w:bCs w:val="1"/>
                <w:rtl w:val="0"/>
              </w:rPr>
              <w:t xml:space="preserve">OK</w:t>
            </w:r>
            <w:r>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7F">
            <w:pPr>
              <w:spacing w:line="276" w:lineRule="auto"/>
              <w:rPr>
                <w:rFonts w:ascii="Arial" w:cs="Arial" w:eastAsia="Arial" w:hAnsi="Arial"/>
                <w:sz w:val="20"/>
                <w:szCs w:val="20"/>
              </w:rPr>
            </w:pP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0">
            <w:pPr>
              <w:widowControl w:val="1"/>
              <w:spacing w:after="60" w:lineRule="auto"/>
              <w:rPr>
                <w:sz w:val="24"/>
                <w:szCs w:val="24"/>
              </w:rPr>
            </w:pPr>
            <w:r>
              <w:rPr>
                <w:rtl w:val="0"/>
              </w:rPr>
              <w:t xml:space="preserve">If two patients have identical T² scores but different PSI/PAI values, how should clinicians interpret the difference?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1">
            <w:pPr>
              <w:widowControl w:val="1"/>
              <w:spacing w:after="60" w:lineRule="auto"/>
              <w:rPr>
                <w:sz w:val="24"/>
                <w:szCs w:val="24"/>
              </w:rPr>
            </w:pPr>
            <w:r>
              <w:rPr>
                <w:rtl w:val="0"/>
              </w:rPr>
              <w:t xml:space="preserve">A clinical interpretation guide has been added to Section 4.4.5. It explains that a PSI-dominant profile (PSI substantially elevated relative to PAI) indicates psychomotor retardation consistent with depressive slowing; a PAI-dominant profile indicates psychomotor agitation consistent with anxiety-driven arousal; and concurrent elevation of both constitutes a mixed disturbance pattern warranting careful clinical inquiry. The guide specifies that clinicians should treat color-coded flags as triage signals: Green (within baseline) warrants continued monitoring; Amber (borderline deviation) prompts inquiry into the highest-T² stressor domain; Red (p &lt; .05 deviation) merits clinical attention and documentation. The section explicitly states that no flag constitutes a diagnosis.</w:t>
            </w:r>
          </w:p>
          <w:p w:rsidR="00000000" w:rsidDel="00000000" w:rsidP="00000000" w:rsidRDefault="00000000" w:rsidRPr="00000000" w14:paraId="00000082">
            <w:pPr>
              <w:widowControl w:val="1"/>
              <w:spacing w:before="40" w:lineRule="auto"/>
              <w:rPr>
                <w:sz w:val="24"/>
                <w:szCs w:val="24"/>
              </w:rPr>
            </w:pPr>
            <w:r>
              <w:rPr>
                <w:sz w:val="20"/>
                <w:szCs w:val="20"/>
                <w:rtl w:val="0"/>
              </w:rPr>
              <w:t xml:space="preserve">(Section 4.4.5 – Discussion)</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083">
            <w:pPr>
              <w:widowControl w:val="1"/>
              <w:spacing w:after="60" w:lineRule="auto"/>
              <w:jc w:val="center"/>
              <w:rPr>
                <w:sz w:val="24"/>
                <w:szCs w:val="24"/>
              </w:rPr>
            </w:pPr>
            <w:r>
              <w:rPr>
                <w:b w:val="1"/>
                <w:bCs w:val="1"/>
                <w:rtl w:val="0"/>
              </w:rPr>
              <w:t xml:space="preserve">OK</w:t>
            </w:r>
            <w:r>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4">
            <w:pPr>
              <w:spacing w:line="276" w:lineRule="auto"/>
              <w:rPr>
                <w:rFonts w:ascii="Arial" w:cs="Arial" w:eastAsia="Arial" w:hAnsi="Arial"/>
                <w:sz w:val="20"/>
                <w:szCs w:val="20"/>
              </w:rPr>
            </w:pP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5">
            <w:pPr>
              <w:widowControl w:val="1"/>
              <w:spacing w:after="60" w:lineRule="auto"/>
              <w:rPr>
                <w:sz w:val="24"/>
                <w:szCs w:val="24"/>
              </w:rPr>
            </w:pPr>
            <w:r>
              <w:rPr>
                <w:rtl w:val="0"/>
              </w:rPr>
              <w:t xml:space="preserve">Can clinicians modify the fuzzy rules based on domain expertise?</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6">
            <w:pPr>
              <w:widowControl w:val="1"/>
              <w:spacing w:after="60" w:lineRule="auto"/>
              <w:rPr>
                <w:sz w:val="24"/>
                <w:szCs w:val="24"/>
              </w:rPr>
            </w:pPr>
            <w:r>
              <w:rPr>
                <w:rtl w:val="0"/>
              </w:rPr>
              <w:t xml:space="preserve">In the current implementation, fuzzy membership functions and IF-THEN rule weights are fixed at system configuration time and cannot be modified by the attending clinician at the point of care. This has been explicitly acknowledged as a limitation in Section 4.4.5, with future development of clinician-adjustable sensitivity parameters within a constrained parameter space recommended in Section 6.9.</w:t>
            </w:r>
          </w:p>
          <w:p w:rsidR="00000000" w:rsidDel="00000000" w:rsidP="00000000" w:rsidRDefault="00000000" w:rsidRPr="00000000" w14:paraId="00000087">
            <w:pPr>
              <w:widowControl w:val="1"/>
              <w:spacing w:before="40" w:lineRule="auto"/>
              <w:rPr>
                <w:sz w:val="24"/>
                <w:szCs w:val="24"/>
              </w:rPr>
            </w:pPr>
            <w:r>
              <w:rPr>
                <w:sz w:val="20"/>
                <w:szCs w:val="20"/>
                <w:rtl w:val="0"/>
              </w:rPr>
              <w:t xml:space="preserve">(Section 4.4.5 – Discussion; Section 6.9 – Recommendations)</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088">
            <w:pPr>
              <w:widowControl w:val="1"/>
              <w:spacing w:after="60" w:lineRule="auto"/>
              <w:jc w:val="center"/>
              <w:rPr>
                <w:sz w:val="24"/>
                <w:szCs w:val="24"/>
              </w:rPr>
            </w:pPr>
            <w:r>
              <w:rPr>
                <w:b w:val="1"/>
                <w:bCs w:val="1"/>
                <w:rtl w:val="0"/>
              </w:rPr>
              <w:t xml:space="preserve">OK</w:t>
            </w:r>
            <w:r>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9">
            <w:pPr>
              <w:spacing w:line="276" w:lineRule="auto"/>
              <w:rPr>
                <w:rFonts w:ascii="Arial" w:cs="Arial" w:eastAsia="Arial" w:hAnsi="Arial"/>
                <w:sz w:val="20"/>
                <w:szCs w:val="20"/>
              </w:rPr>
            </w:pP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A">
            <w:pPr>
              <w:widowControl w:val="1"/>
              <w:spacing w:after="60" w:lineRule="auto"/>
              <w:rPr>
                <w:sz w:val="24"/>
                <w:szCs w:val="24"/>
              </w:rPr>
            </w:pPr>
            <w:r>
              <w:rPr>
                <w:rtl w:val="0"/>
              </w:rPr>
              <w:t xml:space="preserve">If the fuzzy rules are expert-defined, how do you prevent subjective bias from influencing the final classification?</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B">
            <w:pPr>
              <w:widowControl w:val="1"/>
              <w:spacing w:after="60" w:lineRule="auto"/>
              <w:rPr>
                <w:sz w:val="24"/>
                <w:szCs w:val="24"/>
              </w:rPr>
            </w:pPr>
            <w:r>
              <w:rPr>
                <w:rFonts w:ascii="Gungsuh" w:cs="Gungsuh" w:eastAsia="Gungsuh" w:hAnsi="Gungsuh"/>
                <w:rtl w:val="0"/>
              </w:rPr>
              <w:t xml:space="preserve">The fuzzy rules and membership function boundaries were not arbitrarily expert-defined — they were empirically calibrated against the 102-session normative dataset to achieve a flag distribution (RED ≈ 5%, AMBER ≈ 15%, GREEN ≈ 80%) consistent with expected healthy-population prevalence rates. This calibration basis and process was already documented in the manuscript.</w:t>
            </w:r>
            <w:r>
              <w:rPr>
                <w:rtl w:val="0"/>
              </w:rPr>
            </w:r>
          </w:p>
          <w:p w:rsidR="00000000" w:rsidDel="00000000" w:rsidP="00000000" w:rsidRDefault="00000000" w:rsidRPr="00000000" w14:paraId="0000008C">
            <w:pPr>
              <w:widowControl w:val="1"/>
              <w:spacing w:before="40" w:lineRule="auto"/>
              <w:rPr>
                <w:sz w:val="24"/>
                <w:szCs w:val="24"/>
              </w:rPr>
            </w:pPr>
            <w:r>
              <w:rPr>
                <w:sz w:val="20"/>
                <w:szCs w:val="20"/>
                <w:rtl w:val="0"/>
              </w:rPr>
              <w:t xml:space="preserve">(Section 3.6 – Fuzzy Classification / BUILD_CLINICAL.bat calibration notes)</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08D">
            <w:pPr>
              <w:widowControl w:val="1"/>
              <w:spacing w:after="60" w:lineRule="auto"/>
              <w:jc w:val="center"/>
              <w:rPr>
                <w:sz w:val="24"/>
                <w:szCs w:val="24"/>
              </w:rPr>
            </w:pPr>
            <w:r>
              <w:rPr>
                <w:b w:val="1"/>
                <w:bCs w:val="1"/>
                <w:rtl w:val="0"/>
              </w:rPr>
              <w:t xml:space="preserve">OK</w:t>
            </w:r>
            <w:r>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E">
            <w:pPr>
              <w:spacing w:line="276" w:lineRule="auto"/>
              <w:rPr>
                <w:rFonts w:ascii="Arial" w:cs="Arial" w:eastAsia="Arial" w:hAnsi="Arial"/>
                <w:sz w:val="20"/>
                <w:szCs w:val="20"/>
              </w:rPr>
            </w:pP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8F">
            <w:pPr>
              <w:widowControl w:val="1"/>
              <w:spacing w:after="60" w:lineRule="auto"/>
              <w:rPr>
                <w:sz w:val="24"/>
                <w:szCs w:val="24"/>
              </w:rPr>
            </w:pPr>
            <w:r>
              <w:rPr>
                <w:rtl w:val="0"/>
              </w:rPr>
              <w:t xml:space="preserve">How should clinicians respond differently to GREEN, AMBER, and RED cases?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0">
            <w:pPr>
              <w:widowControl w:val="1"/>
              <w:spacing w:after="60" w:lineRule="auto"/>
              <w:rPr>
                <w:sz w:val="24"/>
                <w:szCs w:val="24"/>
              </w:rPr>
            </w:pPr>
            <w:r>
              <w:rPr>
                <w:rtl w:val="0"/>
              </w:rPr>
              <w:t xml:space="preserve">A clinical response protocol for Green, Amber, and Red flags has been added to Section 4.4.5. Green flag: T² within session baseline — warrants continued monitoring. Amber flag: borderline deviation — clinician should probe the stressor domain where T² was most elevated. Red flag: statistically significant deviation at p &lt; .05 from the patient’s own calibration norm — merits clinical attention and documentation. The section explicitly states that no flag constitutes a diagnosis and that all outputs are designed to augment, not replace, the clinician’s professional judgment.</w:t>
            </w:r>
          </w:p>
          <w:p w:rsidR="00000000" w:rsidDel="00000000" w:rsidP="00000000" w:rsidRDefault="00000000" w:rsidRPr="00000000" w14:paraId="00000091">
            <w:pPr>
              <w:widowControl w:val="1"/>
              <w:spacing w:before="40" w:lineRule="auto"/>
              <w:rPr>
                <w:sz w:val="24"/>
                <w:szCs w:val="24"/>
              </w:rPr>
            </w:pPr>
            <w:r>
              <w:rPr>
                <w:sz w:val="20"/>
                <w:szCs w:val="20"/>
                <w:rtl w:val="0"/>
              </w:rPr>
              <w:t xml:space="preserve">(Section 4.4.5 – Discussion)</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092">
            <w:pPr>
              <w:widowControl w:val="1"/>
              <w:spacing w:after="60" w:lineRule="auto"/>
              <w:jc w:val="center"/>
              <w:rPr>
                <w:sz w:val="24"/>
                <w:szCs w:val="24"/>
              </w:rPr>
            </w:pPr>
            <w:r>
              <w:rPr>
                <w:b w:val="1"/>
                <w:bCs w:val="1"/>
                <w:rtl w:val="0"/>
              </w:rPr>
              <w:t xml:space="preserve">OK</w:t>
            </w:r>
            <w:r>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3">
            <w:pPr>
              <w:spacing w:line="276" w:lineRule="auto"/>
              <w:rPr>
                <w:rFonts w:ascii="Arial" w:cs="Arial" w:eastAsia="Arial" w:hAnsi="Arial"/>
                <w:sz w:val="20"/>
                <w:szCs w:val="20"/>
              </w:rPr>
            </w:pP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4">
            <w:pPr>
              <w:widowControl w:val="1"/>
              <w:spacing w:after="60" w:lineRule="auto"/>
              <w:rPr>
                <w:sz w:val="24"/>
                <w:szCs w:val="24"/>
              </w:rPr>
            </w:pPr>
            <w:r>
              <w:rPr>
                <w:rtl w:val="0"/>
              </w:rPr>
              <w:t xml:space="preserve">What evidence supports that the 1.5× threshold is clinically meaningful rather than an arbitrary cutoff?</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95">
            <w:pPr>
              <w:widowControl w:val="1"/>
              <w:spacing w:after="60" w:lineRule="auto"/>
              <w:rPr>
                <w:sz w:val="24"/>
                <w:szCs w:val="24"/>
              </w:rPr>
            </w:pPr>
            <w:r>
              <w:rPr>
                <w:rtl w:val="0"/>
              </w:rPr>
              <w:t xml:space="preserve">The system does not use a fixed 1.5× multiplier as its primary threshold. From the initial design, thresholds were set using empirical bootstrap quantiles (p95 for AMBER, p99 for RED) derived from the actual 102-session normative population — not from an arbitrary multiplier. This population-grounded threshold rationale was already documented in the manuscript and calibration notes.</w:t>
            </w:r>
          </w:p>
          <w:p w:rsidR="00000000" w:rsidDel="00000000" w:rsidP="00000000" w:rsidRDefault="00000000" w:rsidRPr="00000000" w14:paraId="00000096">
            <w:pPr>
              <w:widowControl w:val="1"/>
              <w:spacing w:before="40" w:lineRule="auto"/>
              <w:rPr>
                <w:sz w:val="24"/>
                <w:szCs w:val="24"/>
              </w:rPr>
            </w:pPr>
            <w:r>
              <w:rPr>
                <w:sz w:val="20"/>
                <w:szCs w:val="20"/>
                <w:rtl w:val="0"/>
              </w:rPr>
              <w:t xml:space="preserve">(Section 3.5.2 / 3.6 – Bootstrap Thresholds / anomaly_engine.py BOOTSTRAP_THRESHOLDS)</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097">
            <w:pPr>
              <w:widowControl w:val="1"/>
              <w:spacing w:after="60" w:lineRule="auto"/>
              <w:jc w:val="center"/>
              <w:rPr>
                <w:sz w:val="24"/>
                <w:szCs w:val="24"/>
              </w:rPr>
            </w:pPr>
            <w:r>
              <w:rPr>
                <w:b w:val="1"/>
                <w:bCs w:val="1"/>
                <w:rtl w:val="0"/>
              </w:rPr>
              <w:t xml:space="preserve">OK</w:t>
            </w:r>
            <w:r>
              <w:rPr>
                <w:rtl w:val="0"/>
              </w:rPr>
            </w:r>
          </w:p>
        </w:tc>
      </w:tr>
      <w:tr>
        <w:trPr>
          <w:cantSplit w:val="0"/>
          <w:tblHeader w:val="0"/>
        </w:trPr>
        <w:tc>
          <w:tcPr>
            <w:gridSpan w:val="4"/>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98">
            <w:pPr>
              <w:widowControl w:val="1"/>
              <w:spacing w:after="60" w:lineRule="auto"/>
              <w:rPr>
                <w:sz w:val="24"/>
                <w:szCs w:val="24"/>
              </w:rPr>
            </w:pPr>
            <w:r>
              <w:rPr>
                <w:b w:val="1"/>
                <w:bCs w:val="1"/>
                <w:rtl w:val="0"/>
              </w:rPr>
              <w:t xml:space="preserve">Panel's Signature:   _______________________________</w:t>
            </w:r>
            <w:r>
              <w:rPr>
                <w:rtl w:val="0"/>
              </w:rPr>
            </w:r>
          </w:p>
        </w:tc>
      </w:tr>
      <w:tr>
        <w:trPr>
          <w:cantSplit w:val="0"/>
          <w:tblHeader w:val="0"/>
        </w:trPr>
        <w:tc>
          <w:tcPr>
            <w:gridSpan w:val="4"/>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9C">
            <w:pPr>
              <w:widowControl w:val="1"/>
              <w:spacing w:after="60" w:lineRule="auto"/>
              <w:rPr>
                <w:sz w:val="24"/>
                <w:szCs w:val="24"/>
              </w:rPr>
            </w:pPr>
            <w:r>
              <w:rPr>
                <w:b w:val="1"/>
                <w:bCs w:val="1"/>
                <w:sz w:val="24"/>
                <w:szCs w:val="24"/>
                <w:rtl w:val="0"/>
              </w:rPr>
              <w:t xml:space="preserve">Panel Chair: Sir Jennefer Sabonsolin</w:t>
            </w:r>
            <w:r>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A0">
            <w:pPr>
              <w:widowControl w:val="1"/>
              <w:spacing w:after="60" w:lineRule="auto"/>
              <w:rPr>
                <w:sz w:val="24"/>
                <w:szCs w:val="24"/>
              </w:rPr>
            </w:pPr>
            <w:r>
              <w:rPr>
                <w:b w:val="1"/>
                <w:bCs w:val="1"/>
                <w:rtl w:val="0"/>
              </w:rPr>
              <w:t xml:space="preserve">Panelist</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A1">
            <w:pPr>
              <w:widowControl w:val="1"/>
              <w:spacing w:after="60" w:lineRule="auto"/>
              <w:rPr>
                <w:sz w:val="24"/>
                <w:szCs w:val="24"/>
              </w:rPr>
            </w:pPr>
            <w:r>
              <w:rPr>
                <w:b w:val="1"/>
                <w:bCs w:val="1"/>
                <w:rtl w:val="0"/>
              </w:rPr>
              <w:t xml:space="preserve">Comment / Question</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A2">
            <w:pPr>
              <w:widowControl w:val="1"/>
              <w:spacing w:after="60" w:lineRule="auto"/>
              <w:rPr>
                <w:sz w:val="24"/>
                <w:szCs w:val="24"/>
              </w:rPr>
            </w:pPr>
            <w:r>
              <w:rPr>
                <w:b w:val="1"/>
                <w:bCs w:val="1"/>
                <w:rtl w:val="0"/>
              </w:rPr>
              <w:t xml:space="preserve">Compliance</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A3">
            <w:pPr>
              <w:widowControl w:val="1"/>
              <w:spacing w:after="60" w:lineRule="auto"/>
              <w:rPr>
                <w:sz w:val="24"/>
                <w:szCs w:val="24"/>
              </w:rPr>
            </w:pPr>
            <w:r>
              <w:rPr>
                <w:b w:val="1"/>
                <w:bCs w:val="1"/>
                <w:rtl w:val="0"/>
              </w:rPr>
              <w:t xml:space="preserve">Remarks</w:t>
            </w:r>
            <w:r>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4">
            <w:pPr>
              <w:widowControl w:val="1"/>
              <w:spacing w:after="60" w:lineRule="auto"/>
              <w:rPr>
                <w:sz w:val="24"/>
                <w:szCs w:val="24"/>
              </w:rPr>
            </w:pPr>
            <w:r>
              <w:rPr>
                <w:b w:val="1"/>
                <w:bCs w:val="1"/>
                <w:rtl w:val="0"/>
              </w:rPr>
              <w:t xml:space="preserve">Sir Jennefer Sabonsolin</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5">
            <w:pPr>
              <w:widowControl w:val="1"/>
              <w:spacing w:after="60" w:lineRule="auto"/>
              <w:rPr>
                <w:sz w:val="24"/>
                <w:szCs w:val="24"/>
              </w:rPr>
            </w:pPr>
            <w:r>
              <w:rPr>
                <w:rtl w:val="0"/>
              </w:rPr>
              <w:t xml:space="preserve">Explore more complex algorithms.</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A6">
            <w:pPr>
              <w:widowControl w:val="1"/>
              <w:spacing w:after="60" w:lineRule="auto"/>
              <w:rPr>
                <w:sz w:val="24"/>
                <w:szCs w:val="24"/>
              </w:rPr>
            </w:pPr>
            <w:r>
              <w:rPr>
                <w:rtl w:val="0"/>
              </w:rPr>
              <w:t xml:space="preserve">The system was already built around a multi-stage analytical pipeline: Within-Session EWMA for adaptive baselining, Hotelling's T² with Ledoit-Wolf shrinkage for multivariate anomaly detection, and a Fuzzy Logic Classifier for graded clinical output — going well beyond simple univariate Z-scores from the outset.</w:t>
            </w:r>
          </w:p>
          <w:p w:rsidR="00000000" w:rsidDel="00000000" w:rsidP="00000000" w:rsidRDefault="00000000" w:rsidRPr="00000000" w14:paraId="000000A7">
            <w:pPr>
              <w:widowControl w:val="1"/>
              <w:spacing w:before="40" w:lineRule="auto"/>
              <w:rPr>
                <w:sz w:val="24"/>
                <w:szCs w:val="24"/>
              </w:rPr>
            </w:pPr>
            <w:r>
              <w:rPr>
                <w:sz w:val="20"/>
                <w:szCs w:val="20"/>
                <w:rtl w:val="0"/>
              </w:rPr>
              <w:t xml:space="preserve">(Section 3.5.2 – pp. 96–113)</w:t>
            </w:r>
            <w:r>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center"/>
          </w:tcPr>
          <w:p w:rsidR="00000000" w:rsidDel="00000000" w:rsidP="00000000" w:rsidRDefault="00000000" w:rsidRPr="00000000" w14:paraId="000000A8">
            <w:pPr>
              <w:widowControl w:val="1"/>
              <w:spacing w:after="60" w:lineRule="auto"/>
              <w:jc w:val="center"/>
              <w:rPr>
                <w:sz w:val="24"/>
                <w:szCs w:val="24"/>
              </w:rPr>
            </w:pPr>
            <w:r>
              <w:rPr>
                <w:b w:val="1"/>
                <w:bCs w:val="1"/>
                <w:rtl w:val="0"/>
              </w:rPr>
              <w:t xml:space="preserve">OK</w:t>
            </w:r>
            <w:r>
              <w:rPr>
                <w:rtl w:val="0"/>
              </w:rPr>
            </w:r>
          </w:p>
        </w:tc>
      </w:tr>
      <w:tr>
        <w:trPr>
          <w:cantSplit w:val="0"/>
          <w:tblHeader w:val="0"/>
        </w:trPr>
        <w:tc>
          <w:tcPr>
            <w:gridSpan w:val="4"/>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A9">
            <w:pPr>
              <w:widowControl w:val="1"/>
              <w:spacing w:after="60" w:lineRule="auto"/>
              <w:rPr>
                <w:sz w:val="24"/>
                <w:szCs w:val="24"/>
              </w:rPr>
            </w:pPr>
            <w:r>
              <w:rPr>
                <w:b w:val="1"/>
                <w:bCs w:val="1"/>
                <w:rtl w:val="0"/>
              </w:rPr>
              <w:t xml:space="preserve">Panel's Signature:   _______________________________</w:t>
            </w:r>
            <w:r>
              <w:rPr>
                <w:rtl w:val="0"/>
              </w:rPr>
            </w:r>
          </w:p>
        </w:tc>
      </w:tr>
      <w:tr>
        <w:trPr>
          <w:cantSplit w:val="0"/>
          <w:tblHeader w:val="0"/>
        </w:trPr>
        <w:tc>
          <w:tcPr>
            <w:gridSpan w:val="4"/>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tcPr>
          <w:p w:rsidR="00000000" w:rsidDel="00000000" w:rsidP="00000000" w:rsidRDefault="00000000" w:rsidRPr="00000000" w14:paraId="000000AD">
            <w:pPr>
              <w:widowControl w:val="1"/>
              <w:spacing w:after="60" w:lineRule="auto"/>
              <w:rPr>
                <w:sz w:val="24"/>
                <w:szCs w:val="24"/>
              </w:rPr>
            </w:pPr>
            <w:r>
              <w:rPr>
                <w:b w:val="1"/>
                <w:bCs w:val="1"/>
                <w:sz w:val="24"/>
                <w:szCs w:val="24"/>
                <w:rtl w:val="0"/>
              </w:rPr>
              <w:t xml:space="preserve">Panelist: Dr. Beau Gray Habal</w:t>
            </w:r>
            <w:r>
              <w:rPr>
                <w:rtl w:val="0"/>
              </w:rPr>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sz w:val="20"/>
          <w:szCs w:val="20"/>
        </w:rPr>
      </w:pPr>
      <w:r>
        <w:rPr>
          <w:rtl w:val="0"/>
        </w:rPr>
      </w:r>
    </w:p>
    <w:sectPr>
      <w:pgSz w:h="15840" w:w="12240" w:orient="portrait"/>
      <w:pgMar w:bottom="277.7952755905512" w:top="600.9448818897638" w:left="1717.7952755905512" w:right="1717.7952755905512"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Relationships xmlns="http://schemas.openxmlformats.org/package/2006/relationships">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 Id="rId6"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