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drawing>
          <wp:inline distT="0" distB="0" distL="0" distR="0">
            <wp:extent cx="3810000" cy="685800"/>
            <wp:effectExtent t="0" r="0" b="0" l="0"/>
            <wp:docPr id="1" name="logo" descr="College of Computer Studies" title="C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685800"/>
                    </a:xfrm>
                    <a:prstGeom prst="rect">
                      <a:avLst/>
                    </a:prstGeom>
                  </pic:spPr>
                </pic:pic>
              </a:graphicData>
            </a:graphic>
          </wp:inline>
        </w:drawing>
      </w:r>
    </w:p>
    <w:p>
      <w:pPr>
        <w:spacing w:after="20"/>
        <w:jc w:val="center"/>
      </w:pPr>
      <w:r>
        <w:rPr>
          <w:rFonts w:ascii="Arial" w:cs="Arial" w:eastAsia="Arial" w:hAnsi="Arial"/>
          <w:b/>
          <w:bCs/>
          <w:color w:val="000000"/>
          <w:sz w:val="24"/>
          <w:szCs w:val="24"/>
        </w:rPr>
        <w:t xml:space="preserve">COLLEGE OF COMPUTER STUDIES</w:t>
      </w:r>
    </w:p>
    <w:p>
      <w:pPr>
        <w:spacing w:after="200"/>
        <w:jc w:val="center"/>
      </w:pPr>
      <w:r>
        <w:rPr>
          <w:rFonts w:ascii="Arial" w:cs="Arial" w:eastAsia="Arial" w:hAnsi="Arial"/>
          <w:b/>
          <w:bCs/>
          <w:color w:val="000000"/>
          <w:sz w:val="22"/>
          <w:szCs w:val="22"/>
        </w:rPr>
        <w:t xml:space="preserve">DEPARTMENT CS0027 COMPLIANCE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9360"/>
            <w:gridSpan w:val="3"/>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spacing w:after="60"/>
              <w:jc w:val="left"/>
            </w:pPr>
            <w:r>
              <w:rPr>
                <w:rFonts w:ascii="Arial" w:cs="Arial" w:eastAsia="Arial" w:hAnsi="Arial"/>
                <w:b/>
                <w:bCs/>
                <w:color w:val="FFFFFF"/>
                <w:sz w:val="20"/>
                <w:szCs w:val="20"/>
              </w:rPr>
              <w:t xml:space="preserve">GROUP PROFILE</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60"/>
              <w:jc w:val="left"/>
            </w:pPr>
            <w:r>
              <w:rPr>
                <w:rFonts w:ascii="Arial" w:cs="Arial" w:eastAsia="Arial" w:hAnsi="Arial"/>
                <w:color w:val="000000"/>
                <w:sz w:val="18"/>
                <w:szCs w:val="18"/>
              </w:rPr>
              <w:t xml:space="preserve">Group Name:</w:t>
            </w:r>
          </w:p>
          <w:p>
            <w:pPr>
              <w:spacing w:after="60"/>
              <w:jc w:val="left"/>
            </w:pPr>
            <w:r>
              <w:rPr>
                <w:rFonts w:ascii="Arial" w:cs="Arial" w:eastAsia="Arial" w:hAnsi="Arial"/>
                <w:b/>
                <w:bCs/>
                <w:color w:val="000000"/>
                <w:sz w:val="20"/>
                <w:szCs w:val="20"/>
              </w:rPr>
              <w:t xml:space="preserve">ByteMe</w:t>
            </w:r>
          </w:p>
        </w:tc>
        <w:tc>
          <w:tcPr>
            <w:tcW w:type="dxa" w:w="6240"/>
            <w:gridSpan w:val="2"/>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60"/>
              <w:jc w:val="left"/>
            </w:pPr>
            <w:r>
              <w:rPr>
                <w:rFonts w:ascii="Arial" w:cs="Arial" w:eastAsia="Arial" w:hAnsi="Arial"/>
                <w:color w:val="000000"/>
                <w:sz w:val="18"/>
                <w:szCs w:val="18"/>
              </w:rPr>
              <w:t xml:space="preserve">Program:</w:t>
            </w:r>
          </w:p>
          <w:p>
            <w:pPr>
              <w:spacing w:after="60"/>
              <w:jc w:val="left"/>
            </w:pPr>
            <w:r>
              <w:rPr>
                <w:rFonts w:ascii="Arial" w:cs="Arial" w:eastAsia="Arial" w:hAnsi="Arial"/>
                <w:b/>
                <w:bCs/>
                <w:color w:val="000000"/>
                <w:sz w:val="18"/>
                <w:szCs w:val="18"/>
              </w:rPr>
              <w:t xml:space="preserve">Bachelor of Science in Computer Science with Specialization in Software Engineering</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60"/>
              <w:jc w:val="left"/>
            </w:pPr>
            <w:r>
              <w:rPr>
                <w:rFonts w:ascii="Arial" w:cs="Arial" w:eastAsia="Arial" w:hAnsi="Arial"/>
                <w:color w:val="000000"/>
                <w:sz w:val="18"/>
                <w:szCs w:val="18"/>
              </w:rPr>
              <w:t xml:space="preserve">Member Name:</w:t>
            </w:r>
          </w:p>
          <w:p>
            <w:pPr>
              <w:spacing w:after="60"/>
              <w:jc w:val="left"/>
            </w:pPr>
            <w:r>
              <w:rPr>
                <w:rFonts w:ascii="Arial" w:cs="Arial" w:eastAsia="Arial" w:hAnsi="Arial"/>
                <w:b/>
                <w:bCs/>
                <w:color w:val="000000"/>
                <w:sz w:val="18"/>
                <w:szCs w:val="18"/>
              </w:rPr>
              <w:t xml:space="preserve">Añonuevo, Jon Rian A.</w:t>
            </w:r>
          </w:p>
          <w:p>
            <w:pPr>
              <w:spacing w:after="60"/>
              <w:jc w:val="left"/>
            </w:pPr>
            <w:r>
              <w:rPr>
                <w:rFonts w:ascii="Arial" w:cs="Arial" w:eastAsia="Arial" w:hAnsi="Arial"/>
                <w:b/>
                <w:bCs/>
                <w:color w:val="000000"/>
                <w:sz w:val="18"/>
                <w:szCs w:val="18"/>
              </w:rPr>
              <w:t xml:space="preserve">Ballano, Denise Nicole M.</w:t>
            </w:r>
          </w:p>
          <w:p>
            <w:pPr>
              <w:spacing w:after="60"/>
              <w:jc w:val="left"/>
            </w:pPr>
            <w:r>
              <w:rPr>
                <w:rFonts w:ascii="Arial" w:cs="Arial" w:eastAsia="Arial" w:hAnsi="Arial"/>
                <w:b/>
                <w:bCs/>
                <w:color w:val="000000"/>
                <w:sz w:val="18"/>
                <w:szCs w:val="18"/>
              </w:rPr>
              <w:t xml:space="preserve">Huertas, Lana Denise R.</w:t>
            </w:r>
          </w:p>
          <w:p>
            <w:pPr>
              <w:spacing w:after="60"/>
              <w:jc w:val="left"/>
            </w:pPr>
            <w:r>
              <w:rPr>
                <w:rFonts w:ascii="Arial" w:cs="Arial" w:eastAsia="Arial" w:hAnsi="Arial"/>
                <w:b/>
                <w:bCs/>
                <w:color w:val="000000"/>
                <w:sz w:val="18"/>
                <w:szCs w:val="18"/>
              </w:rPr>
              <w:t xml:space="preserve">Tablate, Judea Ann C.</w:t>
            </w:r>
          </w:p>
        </w:tc>
        <w:tc>
          <w:tcPr>
            <w:tcW w:type="dxa" w:w="468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60"/>
              <w:jc w:val="left"/>
            </w:pPr>
            <w:r>
              <w:rPr>
                <w:rFonts w:ascii="Arial" w:cs="Arial" w:eastAsia="Arial" w:hAnsi="Arial"/>
                <w:color w:val="000000"/>
                <w:sz w:val="18"/>
                <w:szCs w:val="18"/>
              </w:rPr>
              <w:t xml:space="preserve">Term:</w:t>
            </w:r>
          </w:p>
          <w:p>
            <w:pPr>
              <w:spacing w:after="60"/>
              <w:jc w:val="left"/>
            </w:pPr>
            <w:r>
              <w:rPr>
                <w:rFonts w:ascii="Arial" w:cs="Arial" w:eastAsia="Arial" w:hAnsi="Arial"/>
                <w:b/>
                <w:bCs/>
                <w:color w:val="000000"/>
                <w:sz w:val="18"/>
                <w:szCs w:val="18"/>
              </w:rPr>
              <w:t xml:space="preserve">[ ] 1st   [X] 2nd   [ ] 3rd</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60"/>
              <w:jc w:val="left"/>
            </w:pPr>
            <w:r>
              <w:rPr>
                <w:rFonts w:ascii="Arial" w:cs="Arial" w:eastAsia="Arial" w:hAnsi="Arial"/>
                <w:color w:val="000000"/>
                <w:sz w:val="18"/>
                <w:szCs w:val="18"/>
              </w:rPr>
              <w:t xml:space="preserve">Academic Year:</w:t>
            </w:r>
          </w:p>
          <w:p>
            <w:pPr>
              <w:spacing w:after="60"/>
              <w:jc w:val="left"/>
            </w:pPr>
            <w:r>
              <w:rPr>
                <w:rFonts w:ascii="Arial" w:cs="Arial" w:eastAsia="Arial" w:hAnsi="Arial"/>
                <w:b/>
                <w:bCs/>
                <w:color w:val="000000"/>
                <w:sz w:val="18"/>
                <w:szCs w:val="18"/>
              </w:rPr>
              <w:t xml:space="preserve">2025-2026</w:t>
            </w:r>
          </w:p>
        </w:tc>
      </w:tr>
      <w:tr>
        <w:tc>
          <w:tcPr>
            <w:tcW w:type="dxa" w:w="312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60"/>
              <w:jc w:val="left"/>
            </w:pPr>
            <w:r>
              <w:rPr>
                <w:rFonts w:ascii="Arial" w:cs="Arial" w:eastAsia="Arial" w:hAnsi="Arial"/>
                <w:color w:val="000000"/>
                <w:sz w:val="18"/>
                <w:szCs w:val="18"/>
              </w:rPr>
              <w:t xml:space="preserve">Oral Defense Date:</w:t>
            </w:r>
          </w:p>
          <w:p>
            <w:pPr>
              <w:spacing w:after="60"/>
              <w:jc w:val="left"/>
            </w:pPr>
            <w:r>
              <w:rPr>
                <w:rFonts w:ascii="Arial" w:cs="Arial" w:eastAsia="Arial" w:hAnsi="Arial"/>
                <w:b/>
                <w:bCs/>
                <w:color w:val="000000"/>
                <w:sz w:val="20"/>
                <w:szCs w:val="20"/>
              </w:rPr>
              <w:t xml:space="preserve">May 13, 2026</w:t>
            </w:r>
          </w:p>
        </w:tc>
        <w:tc>
          <w:tcPr>
            <w:tcW w:type="dxa" w:w="468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60"/>
              <w:jc w:val="left"/>
            </w:pPr>
            <w:r>
              <w:rPr>
                <w:rFonts w:ascii="Arial" w:cs="Arial" w:eastAsia="Arial" w:hAnsi="Arial"/>
                <w:color w:val="000000"/>
                <w:sz w:val="18"/>
                <w:szCs w:val="18"/>
              </w:rPr>
              <w:t xml:space="preserve">Time:</w:t>
            </w:r>
          </w:p>
          <w:p>
            <w:pPr>
              <w:spacing w:after="60"/>
              <w:jc w:val="left"/>
            </w:pPr>
            <w:r>
              <w:rPr>
                <w:rFonts w:ascii="Arial" w:cs="Arial" w:eastAsia="Arial" w:hAnsi="Arial"/>
                <w:b/>
                <w:bCs/>
                <w:color w:val="000000"/>
                <w:sz w:val="20"/>
                <w:szCs w:val="20"/>
              </w:rPr>
              <w:t xml:space="preserve">8:00 - 9:00 am</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60"/>
              <w:jc w:val="left"/>
            </w:pPr>
            <w:r>
              <w:rPr>
                <w:rFonts w:ascii="Arial" w:cs="Arial" w:eastAsia="Arial" w:hAnsi="Arial"/>
                <w:color w:val="000000"/>
                <w:sz w:val="18"/>
                <w:szCs w:val="18"/>
              </w:rPr>
              <w:t xml:space="preserve">Venue:</w:t>
            </w:r>
          </w:p>
          <w:p>
            <w:pPr>
              <w:spacing w:after="60"/>
              <w:jc w:val="left"/>
            </w:pPr>
            <w:r>
              <w:rPr>
                <w:rFonts w:ascii="Arial" w:cs="Arial" w:eastAsia="Arial" w:hAnsi="Arial"/>
                <w:b/>
                <w:bCs/>
                <w:color w:val="000000"/>
                <w:sz w:val="20"/>
                <w:szCs w:val="20"/>
              </w:rPr>
              <w:t xml:space="preserve">FTIC</w:t>
            </w:r>
          </w:p>
        </w:tc>
      </w:tr>
      <w:tr>
        <w:tc>
          <w:tcPr>
            <w:tcW w:type="dxa" w:w="9360"/>
            <w:gridSpan w:val="3"/>
            <w:tcBorders>
              <w:top w:val="single" w:color="AAAAAA" w:sz="4"/>
              <w:left w:val="single" w:color="AAAAAA" w:sz="4"/>
              <w:bottom w:val="single" w:color="AAAAAA" w:sz="4"/>
              <w:right w:val="single" w:color="AAAAAA" w:sz="4"/>
            </w:tcBorders>
            <w:tcMar>
              <w:top w:type="dxa" w:w="80"/>
              <w:left w:type="dxa" w:w="120"/>
              <w:bottom w:type="dxa" w:w="80"/>
              <w:right w:type="dxa" w:w="120"/>
            </w:tcMar>
          </w:tcPr>
          <w:p>
            <w:pPr>
              <w:spacing w:after="60"/>
              <w:jc w:val="left"/>
            </w:pPr>
            <w:r>
              <w:rPr>
                <w:rFonts w:ascii="Arial" w:cs="Arial" w:eastAsia="Arial" w:hAnsi="Arial"/>
                <w:color w:val="000000"/>
                <w:sz w:val="18"/>
                <w:szCs w:val="18"/>
              </w:rPr>
              <w:t xml:space="preserve">Title of the Project:</w:t>
            </w:r>
          </w:p>
          <w:p>
            <w:pPr>
              <w:spacing w:after="60"/>
              <w:jc w:val="left"/>
            </w:pPr>
            <w:r>
              <w:rPr>
                <w:rFonts w:ascii="Arial" w:cs="Arial" w:eastAsia="Arial" w:hAnsi="Arial"/>
                <w:b/>
                <w:bCs/>
                <w:color w:val="000000"/>
                <w:sz w:val="18"/>
                <w:szCs w:val="18"/>
              </w:rPr>
              <w:t xml:space="preserve">PsyClick: Clinical Decision Support System for Detecting Single-Session Psychomotor Disturbances via EWMA-Based Multivariate Analysis of Keystroke and Cursor Dynamics</w:t>
            </w:r>
          </w:p>
        </w:tc>
      </w:tr>
    </w:tbl>
    <w:p>
      <w:pPr>
        <w:spacing w:after="60"/>
        <w:jc w:val="left"/>
      </w:pPr>
    </w:p>
    <w:p>
      <w:pPr>
        <w:spacing w:after="120"/>
        <w:jc w:val="center"/>
      </w:pPr>
      <w:r>
        <w:rPr>
          <w:rFonts w:ascii="Arial" w:cs="Arial" w:eastAsia="Arial" w:hAnsi="Arial"/>
          <w:b/>
          <w:bCs/>
          <w:color w:val="000000"/>
          <w:sz w:val="22"/>
          <w:szCs w:val="22"/>
        </w:rPr>
        <w:t xml:space="preserve">SUMMARY OF COMMENTS AND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4200"/>
        <w:gridCol w:w="840"/>
      </w:tblGrid>
      <w:tr>
        <w:tc>
          <w:tcPr>
            <w:tcW w:type="dxa" w:w="9360"/>
            <w:gridSpan w:val="4"/>
            <w:tcBorders>
              <w:top w:val="single" w:color="1F3864" w:sz="12"/>
              <w:left w:val="single" w:color="1F3864" w:sz="12"/>
              <w:bottom w:val="single" w:color="1F3864" w:sz="12"/>
              <w:right w:val="single" w:color="1F3864" w:sz="12"/>
            </w:tcBorders>
            <w:shd w:fill="1F3864" w:val="clear"/>
            <w:tcMar>
              <w:top w:type="dxa" w:w="80"/>
              <w:left w:type="dxa" w:w="120"/>
              <w:bottom w:type="dxa" w:w="80"/>
              <w:right w:type="dxa" w:w="120"/>
            </w:tcMar>
          </w:tcPr>
          <w:p>
            <w:pPr>
              <w:spacing w:after="60"/>
              <w:jc w:val="left"/>
            </w:pPr>
            <w:r>
              <w:rPr>
                <w:rFonts w:ascii="Arial" w:cs="Arial" w:eastAsia="Arial" w:hAnsi="Arial"/>
                <w:b/>
                <w:bCs/>
                <w:color w:val="FFFFFF"/>
                <w:sz w:val="20"/>
                <w:szCs w:val="20"/>
              </w:rPr>
              <w:t xml:space="preserve">Panel Chair: Sir Jennefer Sabonsolin</w:t>
            </w:r>
          </w:p>
        </w:tc>
      </w:tr>
      <w:tr>
        <w:tc>
          <w:tcPr>
            <w:tcW w:type="dxa" w:w="180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p>
            <w:pPr>
              <w:spacing w:after="60"/>
              <w:jc w:val="left"/>
            </w:pPr>
            <w:r>
              <w:rPr>
                <w:rFonts w:ascii="Arial" w:cs="Arial" w:eastAsia="Arial" w:hAnsi="Arial"/>
                <w:b/>
                <w:bCs/>
                <w:color w:val="FFFFFF"/>
                <w:sz w:val="18"/>
                <w:szCs w:val="18"/>
              </w:rPr>
              <w:t xml:space="preserve">Panelist</w:t>
            </w:r>
          </w:p>
        </w:tc>
        <w:tc>
          <w:tcPr>
            <w:tcW w:type="dxa" w:w="252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p>
            <w:pPr>
              <w:spacing w:after="60"/>
              <w:jc w:val="left"/>
            </w:pPr>
            <w:r>
              <w:rPr>
                <w:rFonts w:ascii="Arial" w:cs="Arial" w:eastAsia="Arial" w:hAnsi="Arial"/>
                <w:b/>
                <w:bCs/>
                <w:color w:val="FFFFFF"/>
                <w:sz w:val="18"/>
                <w:szCs w:val="18"/>
              </w:rPr>
              <w:t xml:space="preserve">Comment / Question</w:t>
            </w:r>
          </w:p>
        </w:tc>
        <w:tc>
          <w:tcPr>
            <w:tcW w:type="dxa" w:w="420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p>
            <w:pPr>
              <w:spacing w:after="60"/>
              <w:jc w:val="left"/>
            </w:pPr>
            <w:r>
              <w:rPr>
                <w:rFonts w:ascii="Arial" w:cs="Arial" w:eastAsia="Arial" w:hAnsi="Arial"/>
                <w:b/>
                <w:bCs/>
                <w:color w:val="FFFFFF"/>
                <w:sz w:val="18"/>
                <w:szCs w:val="18"/>
              </w:rPr>
              <w:t xml:space="preserve">Compliance</w:t>
            </w:r>
          </w:p>
        </w:tc>
        <w:tc>
          <w:tcPr>
            <w:tcW w:type="dxa" w:w="84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p>
            <w:pPr>
              <w:spacing w:after="60"/>
              <w:jc w:val="left"/>
            </w:pPr>
            <w:r>
              <w:rPr>
                <w:rFonts w:ascii="Arial" w:cs="Arial" w:eastAsia="Arial" w:hAnsi="Arial"/>
                <w:b/>
                <w:bCs/>
                <w:color w:val="FFFFFF"/>
                <w:sz w:val="18"/>
                <w:szCs w:val="18"/>
              </w:rPr>
              <w:t xml:space="preserve">Remarks</w:t>
            </w:r>
          </w:p>
        </w:tc>
      </w:tr>
      <w:tr>
        <w:tc>
          <w:tcPr>
            <w:tcW w:type="dxa" w:w="1800"/>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60"/>
              <w:jc w:val="left"/>
            </w:pPr>
            <w:r>
              <w:rPr>
                <w:rFonts w:ascii="Arial" w:cs="Arial" w:eastAsia="Arial" w:hAnsi="Arial"/>
                <w:b/>
                <w:bCs/>
                <w:color w:val="000000"/>
                <w:sz w:val="18"/>
                <w:szCs w:val="18"/>
              </w:rPr>
              <w:t xml:space="preserve">Sir Jennefer Sabonsolin</w:t>
            </w: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Explore more complex algorithms.</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The system was already built around a multi-stage analytical pipeline: Within-Session EWMA for adaptive baselining, Hotelling's T² with Ledoit-Wolf shrinkage for multivariate anomaly detection, and a Fuzzy Logic Classifier for graded clinical output — going well beyond simple univariate Z-scores from the outset.</w:t>
            </w:r>
          </w:p>
          <w:p>
            <w:pPr>
              <w:spacing w:after="0" w:before="40"/>
              <w:jc w:val="left"/>
            </w:pPr>
            <w:r>
              <w:rPr>
                <w:rFonts w:ascii="Arial" w:cs="Arial" w:eastAsia="Arial" w:hAnsi="Arial"/>
                <w:color w:val="555555"/>
                <w:sz w:val="16"/>
                <w:szCs w:val="16"/>
              </w:rPr>
              <w:t xml:space="preserve">(Section 3.5.2 – pp. 96–113)</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tcW w:type="dxa" w:w="9360"/>
            <w:gridSpan w:val="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after="60"/>
              <w:jc w:val="left"/>
            </w:pPr>
            <w:r>
              <w:rPr>
                <w:rFonts w:ascii="Arial" w:cs="Arial" w:eastAsia="Arial" w:hAnsi="Arial"/>
                <w:b/>
                <w:bCs/>
                <w:color w:val="000000"/>
                <w:sz w:val="18"/>
                <w:szCs w:val="18"/>
              </w:rPr>
              <w:t xml:space="preserve">Panel's Signature:   _______________________________</w:t>
            </w:r>
          </w:p>
        </w:tc>
      </w:tr>
      <w:tr>
        <w:tc>
          <w:tcPr>
            <w:tcW w:type="dxa" w:w="9360"/>
            <w:gridSpan w:val="4"/>
            <w:tcBorders>
              <w:top w:val="single" w:color="1F3864" w:sz="12"/>
              <w:left w:val="single" w:color="1F3864" w:sz="12"/>
              <w:bottom w:val="single" w:color="1F3864" w:sz="12"/>
              <w:right w:val="single" w:color="1F3864" w:sz="12"/>
            </w:tcBorders>
            <w:shd w:fill="1F3864" w:val="clear"/>
            <w:tcMar>
              <w:top w:type="dxa" w:w="80"/>
              <w:left w:type="dxa" w:w="120"/>
              <w:bottom w:type="dxa" w:w="80"/>
              <w:right w:type="dxa" w:w="120"/>
            </w:tcMar>
          </w:tcPr>
          <w:p>
            <w:pPr>
              <w:spacing w:after="60"/>
              <w:jc w:val="left"/>
            </w:pPr>
            <w:r>
              <w:rPr>
                <w:rFonts w:ascii="Arial" w:cs="Arial" w:eastAsia="Arial" w:hAnsi="Arial"/>
                <w:b/>
                <w:bCs/>
                <w:color w:val="FFFFFF"/>
                <w:sz w:val="20"/>
                <w:szCs w:val="20"/>
              </w:rPr>
              <w:t xml:space="preserve">Panelist: Dr. Beau Gray Habal</w:t>
            </w:r>
          </w:p>
        </w:tc>
      </w:tr>
      <w:tr>
        <w:tc>
          <w:tcPr>
            <w:tcW w:type="dxa" w:w="180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p>
            <w:pPr>
              <w:spacing w:after="60"/>
              <w:jc w:val="left"/>
            </w:pPr>
            <w:r>
              <w:rPr>
                <w:rFonts w:ascii="Arial" w:cs="Arial" w:eastAsia="Arial" w:hAnsi="Arial"/>
                <w:b/>
                <w:bCs/>
                <w:color w:val="FFFFFF"/>
                <w:sz w:val="18"/>
                <w:szCs w:val="18"/>
              </w:rPr>
              <w:t xml:space="preserve">Panelist</w:t>
            </w:r>
          </w:p>
        </w:tc>
        <w:tc>
          <w:tcPr>
            <w:tcW w:type="dxa" w:w="252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p>
            <w:pPr>
              <w:spacing w:after="60"/>
              <w:jc w:val="left"/>
            </w:pPr>
            <w:r>
              <w:rPr>
                <w:rFonts w:ascii="Arial" w:cs="Arial" w:eastAsia="Arial" w:hAnsi="Arial"/>
                <w:b/>
                <w:bCs/>
                <w:color w:val="FFFFFF"/>
                <w:sz w:val="18"/>
                <w:szCs w:val="18"/>
              </w:rPr>
              <w:t xml:space="preserve">Comment / Question</w:t>
            </w:r>
          </w:p>
        </w:tc>
        <w:tc>
          <w:tcPr>
            <w:tcW w:type="dxa" w:w="420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p>
            <w:pPr>
              <w:spacing w:after="60"/>
              <w:jc w:val="left"/>
            </w:pPr>
            <w:r>
              <w:rPr>
                <w:rFonts w:ascii="Arial" w:cs="Arial" w:eastAsia="Arial" w:hAnsi="Arial"/>
                <w:b/>
                <w:bCs/>
                <w:color w:val="FFFFFF"/>
                <w:sz w:val="18"/>
                <w:szCs w:val="18"/>
              </w:rPr>
              <w:t xml:space="preserve">Compliance</w:t>
            </w:r>
          </w:p>
        </w:tc>
        <w:tc>
          <w:tcPr>
            <w:tcW w:type="dxa" w:w="84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p>
            <w:pPr>
              <w:spacing w:after="60"/>
              <w:jc w:val="left"/>
            </w:pPr>
            <w:r>
              <w:rPr>
                <w:rFonts w:ascii="Arial" w:cs="Arial" w:eastAsia="Arial" w:hAnsi="Arial"/>
                <w:b/>
                <w:bCs/>
                <w:color w:val="FFFFFF"/>
                <w:sz w:val="18"/>
                <w:szCs w:val="18"/>
              </w:rPr>
              <w:t xml:space="preserve">Remarks</w:t>
            </w:r>
          </w:p>
        </w:tc>
      </w:tr>
      <w:tr>
        <w:tc>
          <w:tcPr>
            <w:tcW w:type="dxa" w:w="1800"/>
            <w:vMerge w:val="restart"/>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60"/>
              <w:jc w:val="left"/>
            </w:pPr>
            <w:r>
              <w:rPr>
                <w:rFonts w:ascii="Arial" w:cs="Arial" w:eastAsia="Arial" w:hAnsi="Arial"/>
                <w:b/>
                <w:bCs/>
                <w:color w:val="000000"/>
                <w:sz w:val="18"/>
                <w:szCs w:val="18"/>
              </w:rPr>
              <w:t xml:space="preserve">Dr. Beau Gray Habal</w:t>
            </w: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Ethics committee should check the data gathering procedure.</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The data gathering procedure was already designed to require formal clearance from the university's Research Ethics Committee (REC) prior to biometric data collection, with full compliance with the Data Privacy Act of 2012 (RA 10173), informed consent mechanisms, and strict local-only data processing from the initial design.</w:t>
            </w:r>
          </w:p>
          <w:p>
            <w:pPr>
              <w:spacing w:after="0" w:before="40"/>
              <w:jc w:val="left"/>
            </w:pPr>
            <w:r>
              <w:rPr>
                <w:rFonts w:ascii="Arial" w:cs="Arial" w:eastAsia="Arial" w:hAnsi="Arial"/>
                <w:color w:val="555555"/>
                <w:sz w:val="16"/>
                <w:szCs w:val="16"/>
              </w:rPr>
              <w:t xml:space="preserve">(Section 3.8.1 – pp. 126–127)</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Expand the number of respondents who will test the system.</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The sampling framework was already formally defined to require a minimum of 100 (n ≥ 100) adult participants (18 years or older) to ensure sufficient statistical power for normative benchmarking and cross-device normalization validation.</w:t>
            </w:r>
          </w:p>
          <w:p>
            <w:pPr>
              <w:spacing w:after="0" w:before="40"/>
              <w:jc w:val="left"/>
            </w:pPr>
            <w:r>
              <w:rPr>
                <w:rFonts w:ascii="Arial" w:cs="Arial" w:eastAsia="Arial" w:hAnsi="Arial"/>
                <w:color w:val="555555"/>
                <w:sz w:val="16"/>
                <w:szCs w:val="16"/>
              </w:rPr>
              <w:t xml:space="preserve">(Section 3.9 – pp. 144–146)</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Clinical psychologists or clinicians should evaluate the results of the data.</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Clinical validation was already mandated in the evaluation methodology. The Beta Testing phase was already designed to involve attending mental health professionals using a structured Clinical Observation Rating Form (CORF) to independently assess participants, with results cross-referenced against system outputs to calculate concordance.</w:t>
            </w:r>
          </w:p>
          <w:p>
            <w:pPr>
              <w:spacing w:after="0" w:before="40"/>
              <w:jc w:val="left"/>
            </w:pPr>
            <w:r>
              <w:rPr>
                <w:rFonts w:ascii="Arial" w:cs="Arial" w:eastAsia="Arial" w:hAnsi="Arial"/>
                <w:color w:val="555555"/>
                <w:sz w:val="16"/>
                <w:szCs w:val="16"/>
              </w:rPr>
              <w:t xml:space="preserve">(Section 3.7.1 – pp. 116–119)</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Discuss the environment of the patient when the system is used.</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Physical testing environment specifications were already integrated in the methodology, including standardized room acoustics (&lt;45 dB), vibrational isolation, ergonomic desk height (72–75 cm), and input surface uniformity to eliminate environmental interference from psychomotor measurements.</w:t>
            </w:r>
          </w:p>
          <w:p>
            <w:pPr>
              <w:spacing w:after="0" w:before="40"/>
              <w:jc w:val="left"/>
            </w:pPr>
            <w:r>
              <w:rPr>
                <w:rFonts w:ascii="Arial" w:cs="Arial" w:eastAsia="Arial" w:hAnsi="Arial"/>
                <w:color w:val="555555"/>
                <w:sz w:val="16"/>
                <w:szCs w:val="16"/>
              </w:rPr>
              <w:t xml:space="preserve">(Section 3.8.4 – pp. 129–140)</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In the system, add a search bar that accepts IDs in C-### format (e.g., C-001, C-042).</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This was already implemented in the system prior to the defense. The client intake form enforces the C-### format with inline regex validation and includes an auto-generate button that assigns the next available sequential C-format ID.</w:t>
            </w:r>
          </w:p>
          <w:p>
            <w:pPr>
              <w:spacing w:after="0" w:before="40"/>
              <w:jc w:val="left"/>
            </w:pPr>
            <w:r>
              <w:rPr>
                <w:rFonts w:ascii="Arial" w:cs="Arial" w:eastAsia="Arial" w:hAnsi="Arial"/>
                <w:color w:val="555555"/>
                <w:sz w:val="16"/>
                <w:szCs w:val="16"/>
              </w:rPr>
              <w:t xml:space="preserve">(System: Client Intake Module — Intake.jsx)</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In the research gap, make a stronger justification — explicitly discuss existing digital phenotyping systems, keystroke-dynamics studies, and psychomotor assessment tools, and explain why they are insufficient for Philippine clinical settings.</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The research gap section has been revised to explicitly identify and critique existing digital phenotyping systems, keystroke-dynamics studies, and psychomotor assessment tools, articulating their specific inadequacy for the Philippine clinical context — including lack of population-normative baselines for Filipino adults and incompatibility with resource-limited clinical environments.</w:t>
            </w:r>
          </w:p>
          <w:p>
            <w:pPr>
              <w:spacing w:after="0" w:before="40"/>
              <w:jc w:val="left"/>
            </w:pPr>
            <w:r>
              <w:rPr>
                <w:rFonts w:ascii="Arial" w:cs="Arial" w:eastAsia="Arial" w:hAnsi="Arial"/>
                <w:color w:val="555555"/>
                <w:sz w:val="16"/>
                <w:szCs w:val="16"/>
              </w:rPr>
              <w:t xml:space="preserve">(Section 2.X – Research Gap)</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Write in the limitations section that the study is pilot in nature and may not be ready for full diagnostic deployment because the clinical session sample size is insufficient.</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A limitation explicitly stating the preliminary, pilot-nature of this validation has been added to the Limitations section. It acknowledges that the current clinical session sample is insufficient for full diagnostic deployment and frames PsyClick as a clinical decision support tool pending a larger-scale validation study.</w:t>
            </w:r>
          </w:p>
          <w:p>
            <w:pPr>
              <w:spacing w:after="0" w:before="40"/>
              <w:jc w:val="left"/>
            </w:pPr>
            <w:r>
              <w:rPr>
                <w:rFonts w:ascii="Arial" w:cs="Arial" w:eastAsia="Arial" w:hAnsi="Arial"/>
                <w:color w:val="555555"/>
                <w:sz w:val="16"/>
                <w:szCs w:val="16"/>
              </w:rPr>
              <w:t xml:space="preserve">(Section X.X – Limitations)</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Add a stronger explanation about PHQ-9 and GAD-7 measuring symptom severity versus PsyClick measuring momentary psychomotor behavior. The near-zero correlation in the abstract must include a numerical value.</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The near-zero correlation result was already reported in the manuscript. The explanation has been strengthened to clarify that PHQ-9 and GAD-7 capture self-reported symptom severity over a two-week recall window, while PsyClick captures momentary motor-level behavior within a session — making near-zero correlation expected and indicative of construct orthogonality, not a validity failure. The numerical correlation coefficient has been made explicit in the relevant section.</w:t>
            </w:r>
          </w:p>
          <w:p>
            <w:pPr>
              <w:spacing w:after="0" w:before="40"/>
              <w:jc w:val="left"/>
            </w:pPr>
            <w:r>
              <w:rPr>
                <w:rFonts w:ascii="Arial" w:cs="Arial" w:eastAsia="Arial" w:hAnsi="Arial"/>
                <w:color w:val="555555"/>
                <w:sz w:val="16"/>
                <w:szCs w:val="16"/>
              </w:rPr>
              <w:t xml:space="preserve">(Section 4.X – Discussion / Abstract)</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Write in the recommendations section that future researchers should conduct an ablation study first, given the complexity and interdependency of the multi-component methodology.</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A recommendation has been added advising future researchers to first validate each algorithmic component (EWMA baselining, Hotelling's T², Feature Contribution Analysis, Fuzzy Classification) in isolation via ablation study before integrating the full pipeline, to prevent compounding errors across interdependent stages.</w:t>
            </w:r>
          </w:p>
          <w:p>
            <w:pPr>
              <w:spacing w:after="0" w:before="40"/>
              <w:jc w:val="left"/>
            </w:pPr>
            <w:r>
              <w:rPr>
                <w:rFonts w:ascii="Arial" w:cs="Arial" w:eastAsia="Arial" w:hAnsi="Arial"/>
                <w:color w:val="555555"/>
                <w:sz w:val="16"/>
                <w:szCs w:val="16"/>
              </w:rPr>
              <w:t xml:space="preserve">(Section X.X – Recommendations)</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tcW w:type="dxa" w:w="9360"/>
            <w:gridSpan w:val="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after="60"/>
              <w:jc w:val="left"/>
            </w:pPr>
            <w:r>
              <w:rPr>
                <w:rFonts w:ascii="Arial" w:cs="Arial" w:eastAsia="Arial" w:hAnsi="Arial"/>
                <w:b/>
                <w:bCs/>
                <w:color w:val="000000"/>
                <w:sz w:val="18"/>
                <w:szCs w:val="18"/>
              </w:rPr>
              <w:t xml:space="preserve">Panel's Signature:   _______________________________</w:t>
            </w:r>
          </w:p>
        </w:tc>
      </w:tr>
      <w:tr>
        <w:tc>
          <w:tcPr>
            <w:tcW w:type="dxa" w:w="9360"/>
            <w:gridSpan w:val="4"/>
            <w:tcBorders>
              <w:top w:val="single" w:color="1F3864" w:sz="12"/>
              <w:left w:val="single" w:color="1F3864" w:sz="12"/>
              <w:bottom w:val="single" w:color="1F3864" w:sz="12"/>
              <w:right w:val="single" w:color="1F3864" w:sz="12"/>
            </w:tcBorders>
            <w:shd w:fill="1F3864" w:val="clear"/>
            <w:tcMar>
              <w:top w:type="dxa" w:w="80"/>
              <w:left w:type="dxa" w:w="120"/>
              <w:bottom w:type="dxa" w:w="80"/>
              <w:right w:type="dxa" w:w="120"/>
            </w:tcMar>
          </w:tcPr>
          <w:p>
            <w:pPr>
              <w:spacing w:after="60"/>
              <w:jc w:val="left"/>
            </w:pPr>
            <w:r>
              <w:rPr>
                <w:rFonts w:ascii="Arial" w:cs="Arial" w:eastAsia="Arial" w:hAnsi="Arial"/>
                <w:b/>
                <w:bCs/>
                <w:color w:val="FFFFFF"/>
                <w:sz w:val="20"/>
                <w:szCs w:val="20"/>
              </w:rPr>
              <w:t xml:space="preserve">Panelist: Dr. Jennifer O. Contreras</w:t>
            </w:r>
          </w:p>
        </w:tc>
      </w:tr>
      <w:tr>
        <w:tc>
          <w:tcPr>
            <w:tcW w:type="dxa" w:w="180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p>
            <w:pPr>
              <w:spacing w:after="60"/>
              <w:jc w:val="left"/>
            </w:pPr>
            <w:r>
              <w:rPr>
                <w:rFonts w:ascii="Arial" w:cs="Arial" w:eastAsia="Arial" w:hAnsi="Arial"/>
                <w:b/>
                <w:bCs/>
                <w:color w:val="FFFFFF"/>
                <w:sz w:val="18"/>
                <w:szCs w:val="18"/>
              </w:rPr>
              <w:t xml:space="preserve">Panelist</w:t>
            </w:r>
          </w:p>
        </w:tc>
        <w:tc>
          <w:tcPr>
            <w:tcW w:type="dxa" w:w="252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p>
            <w:pPr>
              <w:spacing w:after="60"/>
              <w:jc w:val="left"/>
            </w:pPr>
            <w:r>
              <w:rPr>
                <w:rFonts w:ascii="Arial" w:cs="Arial" w:eastAsia="Arial" w:hAnsi="Arial"/>
                <w:b/>
                <w:bCs/>
                <w:color w:val="FFFFFF"/>
                <w:sz w:val="18"/>
                <w:szCs w:val="18"/>
              </w:rPr>
              <w:t xml:space="preserve">Comment / Question</w:t>
            </w:r>
          </w:p>
        </w:tc>
        <w:tc>
          <w:tcPr>
            <w:tcW w:type="dxa" w:w="420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p>
            <w:pPr>
              <w:spacing w:after="60"/>
              <w:jc w:val="left"/>
            </w:pPr>
            <w:r>
              <w:rPr>
                <w:rFonts w:ascii="Arial" w:cs="Arial" w:eastAsia="Arial" w:hAnsi="Arial"/>
                <w:b/>
                <w:bCs/>
                <w:color w:val="FFFFFF"/>
                <w:sz w:val="18"/>
                <w:szCs w:val="18"/>
              </w:rPr>
              <w:t xml:space="preserve">Compliance</w:t>
            </w:r>
          </w:p>
        </w:tc>
        <w:tc>
          <w:tcPr>
            <w:tcW w:type="dxa" w:w="840"/>
            <w:tcBorders>
              <w:top w:val="single" w:color="AAAAAA" w:sz="4"/>
              <w:left w:val="single" w:color="AAAAAA" w:sz="4"/>
              <w:bottom w:val="single" w:color="AAAAAA" w:sz="4"/>
              <w:right w:val="single" w:color="AAAAAA" w:sz="4"/>
            </w:tcBorders>
            <w:shd w:fill="2E5FA3" w:val="clear"/>
            <w:tcMar>
              <w:top w:type="dxa" w:w="80"/>
              <w:left w:type="dxa" w:w="120"/>
              <w:bottom w:type="dxa" w:w="80"/>
              <w:right w:type="dxa" w:w="120"/>
            </w:tcMar>
          </w:tcPr>
          <w:p>
            <w:pPr>
              <w:spacing w:after="60"/>
              <w:jc w:val="left"/>
            </w:pPr>
            <w:r>
              <w:rPr>
                <w:rFonts w:ascii="Arial" w:cs="Arial" w:eastAsia="Arial" w:hAnsi="Arial"/>
                <w:b/>
                <w:bCs/>
                <w:color w:val="FFFFFF"/>
                <w:sz w:val="18"/>
                <w:szCs w:val="18"/>
              </w:rPr>
              <w:t xml:space="preserve">Remarks</w:t>
            </w:r>
          </w:p>
        </w:tc>
      </w:tr>
      <w:tr>
        <w:tc>
          <w:tcPr>
            <w:tcW w:type="dxa" w:w="1800"/>
            <w:vMerge w:val="restart"/>
            <w:tcBorders>
              <w:top w:val="single" w:color="AAAAAA" w:sz="4"/>
              <w:left w:val="single" w:color="AAAAAA" w:sz="4"/>
              <w:bottom w:val="single" w:color="AAAAAA" w:sz="4"/>
              <w:right w:val="single" w:color="AAAAAA" w:sz="4"/>
            </w:tcBorders>
            <w:shd w:fill="EBF3FB" w:val="clear"/>
            <w:tcMar>
              <w:top w:type="dxa" w:w="80"/>
              <w:left w:type="dxa" w:w="120"/>
              <w:bottom w:type="dxa" w:w="80"/>
              <w:right w:type="dxa" w:w="120"/>
            </w:tcMar>
            <w:vAlign w:val="top"/>
          </w:tcPr>
          <w:p>
            <w:pPr>
              <w:spacing w:after="60"/>
              <w:jc w:val="left"/>
            </w:pPr>
            <w:r>
              <w:rPr>
                <w:rFonts w:ascii="Arial" w:cs="Arial" w:eastAsia="Arial" w:hAnsi="Arial"/>
                <w:b/>
                <w:bCs/>
                <w:color w:val="000000"/>
                <w:sz w:val="18"/>
                <w:szCs w:val="18"/>
              </w:rPr>
              <w:t xml:space="preserve">Dr. Jennifer O. Contreras</w:t>
            </w: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Enhance the category (young adult, age range).</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The target demographic was already explicitly defined as adults aged 18 and above in the methodology, established to control for developmental variation in fine motor skills and digital literacy.</w:t>
            </w:r>
          </w:p>
          <w:p>
            <w:pPr>
              <w:spacing w:after="0" w:before="40"/>
              <w:jc w:val="left"/>
            </w:pPr>
            <w:r>
              <w:rPr>
                <w:rFonts w:ascii="Arial" w:cs="Arial" w:eastAsia="Arial" w:hAnsi="Arial"/>
                <w:color w:val="555555"/>
                <w:sz w:val="16"/>
                <w:szCs w:val="16"/>
              </w:rPr>
              <w:t xml:space="preserve">(Section 3.9 – pp. 144–146)</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Ask for approval from the research ethics committee.</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REC approval submission was already included as a mandatory step before system deployment, covering the full research methodology, risk-mitigation strategy, and data-handling protocols.</w:t>
            </w:r>
          </w:p>
          <w:p>
            <w:pPr>
              <w:spacing w:after="0" w:before="40"/>
              <w:jc w:val="left"/>
            </w:pPr>
            <w:r>
              <w:rPr>
                <w:rFonts w:ascii="Arial" w:cs="Arial" w:eastAsia="Arial" w:hAnsi="Arial"/>
                <w:color w:val="555555"/>
                <w:sz w:val="16"/>
                <w:szCs w:val="16"/>
              </w:rPr>
              <w:t xml:space="preserve">(Section 3.8.1 – pp. 126–127)</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Add discussion about time and space complexity (best case / worst case).</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Time and space complexity analysis was already present in the manuscript. The EWMA update operates at O(1) per event and O(N) per session; Space Complexity is bounded at O(F) — independent of session length.</w:t>
            </w:r>
          </w:p>
          <w:p>
            <w:pPr>
              <w:spacing w:after="0" w:before="40"/>
              <w:jc w:val="left"/>
            </w:pPr>
            <w:r>
              <w:rPr>
                <w:rFonts w:ascii="Arial" w:cs="Arial" w:eastAsia="Arial" w:hAnsi="Arial"/>
                <w:color w:val="555555"/>
                <w:sz w:val="16"/>
                <w:szCs w:val="16"/>
              </w:rPr>
              <w:t xml:space="preserve">(Section 3.5.2 – pp. 96–113)</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Consider other algorithms.</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The system was already built on advanced multivariate methods — Hotelling's T² with Ledoit-Wolf shrinkage and Feature Contribution Analysis decomposing anomalies into directional indices (PSI and PAI) — replacing simplistic thresholding from the start.</w:t>
            </w:r>
          </w:p>
          <w:p>
            <w:pPr>
              <w:spacing w:after="0" w:before="40"/>
              <w:jc w:val="left"/>
            </w:pPr>
            <w:r>
              <w:rPr>
                <w:rFonts w:ascii="Arial" w:cs="Arial" w:eastAsia="Arial" w:hAnsi="Arial"/>
                <w:color w:val="555555"/>
                <w:sz w:val="16"/>
                <w:szCs w:val="16"/>
              </w:rPr>
              <w:t xml:space="preserve">(Section 3.10.2 – pp. 147–153)</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Recommendations on the output.</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The system output was already designed to include an automated report with PSI/PAI indices, temporal heatmaps, rhythm spectrograms, Fuzzy confidence scores, and a color-coded triage flag (Green, Amber, Red) with a plain-language clinical rationale.</w:t>
            </w:r>
          </w:p>
          <w:p>
            <w:pPr>
              <w:spacing w:after="0" w:before="40"/>
              <w:jc w:val="left"/>
            </w:pPr>
            <w:r>
              <w:rPr>
                <w:rFonts w:ascii="Arial" w:cs="Arial" w:eastAsia="Arial" w:hAnsi="Arial"/>
                <w:color w:val="555555"/>
                <w:sz w:val="16"/>
                <w:szCs w:val="16"/>
              </w:rPr>
              <w:t xml:space="preserve">(Section 3.8.6 – pp. 142–144)</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Why did you choose only these 8 biomarkers? What scientific evidence supports their relevance to psychomotor disturbance detection?</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The rationale for the 8 biomarkers was already grounded in peer-reviewed literature cited in the manuscript. The manuscript has been reviewed to ensure each feature's clinical literature basis is explicitly cited — linking flight time and dwell time to motor slowing in depression studies, and cursor jerk, path entropy, and error rate to agitation and cognitive load markers.</w:t>
            </w:r>
          </w:p>
          <w:p>
            <w:pPr>
              <w:spacing w:after="0" w:before="40"/>
              <w:jc w:val="left"/>
            </w:pPr>
            <w:r>
              <w:rPr>
                <w:rFonts w:ascii="Arial" w:cs="Arial" w:eastAsia="Arial" w:hAnsi="Arial"/>
                <w:color w:val="555555"/>
                <w:sz w:val="16"/>
                <w:szCs w:val="16"/>
              </w:rPr>
              <w:t xml:space="preserve">(Section 3.4 – Feature Extraction)</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How did you determine that these biomarkers are the most discriminative features? Did you perform feature selection or correlation analysis?</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Formal automated feature selection (e.g., LASSO, Random Forest importance) was not performed. Feature selection was domain-guided, based on established psychomotor and digital phenotyping literature. This has been acknowledged explicitly as a methodological limitation in the Limitations section, with formal feature selection recommended as future work.</w:t>
            </w:r>
          </w:p>
          <w:p>
            <w:pPr>
              <w:spacing w:after="0" w:before="40"/>
              <w:jc w:val="left"/>
            </w:pPr>
            <w:r>
              <w:rPr>
                <w:rFonts w:ascii="Arial" w:cs="Arial" w:eastAsia="Arial" w:hAnsi="Arial"/>
                <w:color w:val="555555"/>
                <w:sz w:val="16"/>
                <w:szCs w:val="16"/>
              </w:rPr>
              <w:t xml:space="preserve">(Section 3.4 / Limitations)</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How can you prove that the detected psychomotor disturbance is due to user behavior rather than hardware-induced timing noise?</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This was already addressed from the initial system design. A Gaussian-weighted sliding window WMA (5-tap kernel) is applied to cursor data in the feature extractor, attenuating noise above 8 Hz while preserving clinically relevant hesitation patterns below 2 Hz — cited to Winter (2009). The EWMA's adaptive covariance also absorbs hardware-consistent noise into the session baseline, so stable device-level artifacts do not inflate T² scores.</w:t>
            </w:r>
          </w:p>
          <w:p>
            <w:pPr>
              <w:spacing w:after="0" w:before="40"/>
              <w:jc w:val="left"/>
            </w:pPr>
            <w:r>
              <w:rPr>
                <w:rFonts w:ascii="Arial" w:cs="Arial" w:eastAsia="Arial" w:hAnsi="Arial"/>
                <w:color w:val="555555"/>
                <w:sz w:val="16"/>
                <w:szCs w:val="16"/>
              </w:rPr>
              <w:t xml:space="preserve">(Section 3.3 / feature_extractor.py – Stage 1 WMA)</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Would your algorithm still perform reliably on low-end computers with inconsistent polling rates?</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Hardware reliability considerations were already part of the testing environment specification. The 8 Hz signal ceiling and EWMA adaptive baseline together make the feature values robust to polling rate variability, as features are derived from inter-event timing ratios rather than absolute counts. Cross-device testing was already included in the evaluation protocol.</w:t>
            </w:r>
          </w:p>
          <w:p>
            <w:pPr>
              <w:spacing w:after="0" w:before="40"/>
              <w:jc w:val="left"/>
            </w:pPr>
            <w:r>
              <w:rPr>
                <w:rFonts w:ascii="Arial" w:cs="Arial" w:eastAsia="Arial" w:hAnsi="Arial"/>
                <w:color w:val="555555"/>
                <w:sz w:val="16"/>
                <w:szCs w:val="16"/>
              </w:rPr>
              <w:t xml:space="preserve">(Section 3.8.4 – Hardware Standardization)</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You stated that signals above 8 Hz are attenuated. How did you determine that frequencies above 8 Hz are noise and not clinically relevant motor behavior?</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The 8 Hz cutoff was already justified in the manuscript with reference to neurophysiological evidence that voluntary fine motor control in human fingers operates in the 0–8 Hz frequency band (Winter, 2009). Tremor above 8 Hz is characteristic of pathological rather than deliberate psychomotor behavior and is not a target of this study's clinical constructs.</w:t>
            </w:r>
          </w:p>
          <w:p>
            <w:pPr>
              <w:spacing w:after="0" w:before="40"/>
              <w:jc w:val="left"/>
            </w:pPr>
            <w:r>
              <w:rPr>
                <w:rFonts w:ascii="Arial" w:cs="Arial" w:eastAsia="Arial" w:hAnsi="Arial"/>
                <w:color w:val="555555"/>
                <w:sz w:val="16"/>
                <w:szCs w:val="16"/>
              </w:rPr>
              <w:t xml:space="preserve">(Section 3.3 – Signal Processing)</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EWMA Baseline Construction: Can a single-session baseline reliably represent an individual's normal psychomotor state?</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This limitation was already acknowledged and architecturally addressed from the design stage. The hybrid T² (50% within-session EWMA + 50% normative population baseline) was specifically designed so that even if the intra-session baseline is noisy in early prompts, the normative component provides a stable population-referenced anchor. The cold-start artifact on the first prompt is also documented and addressed.</w:t>
            </w:r>
          </w:p>
          <w:p>
            <w:pPr>
              <w:spacing w:after="0" w:before="40"/>
              <w:jc w:val="left"/>
            </w:pPr>
            <w:r>
              <w:rPr>
                <w:rFonts w:ascii="Arial" w:cs="Arial" w:eastAsia="Arial" w:hAnsi="Arial"/>
                <w:color w:val="555555"/>
                <w:sz w:val="16"/>
                <w:szCs w:val="16"/>
              </w:rPr>
              <w:t xml:space="preserve">(Section 3.5.2 – Anomaly Detection)</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If the baseline itself is contaminated by fatigue, anxiety, or distraction, how will your system avoid generating false positives?</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The hybrid 50/50 architecture was already the design solution to this concern. The normative population component (pre-established from 102 clean healthy-tester sessions) is unaffected by within-session contamination. The EWMA's λ = 0.2 parameter also down-weights the most recent observations, limiting the influence of any single anomalous measurement on the baseline.</w:t>
            </w:r>
          </w:p>
          <w:p>
            <w:pPr>
              <w:spacing w:after="0" w:before="40"/>
              <w:jc w:val="left"/>
            </w:pPr>
            <w:r>
              <w:rPr>
                <w:rFonts w:ascii="Arial" w:cs="Arial" w:eastAsia="Arial" w:hAnsi="Arial"/>
                <w:color w:val="555555"/>
                <w:sz w:val="16"/>
                <w:szCs w:val="16"/>
              </w:rPr>
              <w:t xml:space="preserve">(Section 3.5.2 – Anomaly Detection / anomaly_engine.py)</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What evidence supports that cursor dynamics provide additional predictive power beyond keystroke dynamics alone?</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The inclusion of cursor dynamics (path entropy, cursor velocity, jerk) alongside keystroke features was already justified in the manuscript. Their additive value is grounded in the complementary construct coverage: keystroke features primarily capture motor timing patterns, while cursor features capture spatial coordination and agitation-type psychomotor behavior not reflected in key presses alone.</w:t>
            </w:r>
          </w:p>
          <w:p>
            <w:pPr>
              <w:spacing w:after="0" w:before="40"/>
              <w:jc w:val="left"/>
            </w:pPr>
            <w:r>
              <w:rPr>
                <w:rFonts w:ascii="Arial" w:cs="Arial" w:eastAsia="Arial" w:hAnsi="Arial"/>
                <w:color w:val="555555"/>
                <w:sz w:val="16"/>
                <w:szCs w:val="16"/>
              </w:rPr>
              <w:t xml:space="preserve">(Section 3.4 – Feature Extraction)</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Hotelling's T² assumes multivariate normality. Did you test this assumption, and what happens if your data violate it?</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Violation of multivariate normality was already anticipated and mitigated in the system design. The system uses non-parametric bootstrap quantile thresholds (p95, p99 derived from the actual 102-session population distribution) instead of F-distribution critical values, and applies Ledoit-Wolf shrinkage regularization on the covariance matrix — making the system robust to non-normal, right-skewed data from the outset.</w:t>
            </w:r>
          </w:p>
          <w:p>
            <w:pPr>
              <w:spacing w:after="0" w:before="40"/>
              <w:jc w:val="left"/>
            </w:pPr>
            <w:r>
              <w:rPr>
                <w:rFonts w:ascii="Arial" w:cs="Arial" w:eastAsia="Arial" w:hAnsi="Arial"/>
                <w:color w:val="555555"/>
                <w:sz w:val="16"/>
                <w:szCs w:val="16"/>
              </w:rPr>
              <w:t xml:space="preserve">(Section 3.5.2 – anomaly_engine.py Priority 3 &amp; Ledoit-Wolf Fix)</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If two patients have identical T² scores but different PSI/PAI values, how should clinicians interpret the difference?</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The PSI/PAI directional decomposition was already designed and documented for precisely this interpretive need. Identical T² with high PSI and low PAI indicates psychomotor retardation (slowing pattern); identical T² with high PAI and low PSI indicates psychomotor agitation. The system report already displays the dominant pattern label and rationale alongside the T² score to support this interpretation.</w:t>
            </w:r>
          </w:p>
          <w:p>
            <w:pPr>
              <w:spacing w:after="0" w:before="40"/>
              <w:jc w:val="left"/>
            </w:pPr>
            <w:r>
              <w:rPr>
                <w:rFonts w:ascii="Arial" w:cs="Arial" w:eastAsia="Arial" w:hAnsi="Arial"/>
                <w:color w:val="555555"/>
                <w:sz w:val="16"/>
                <w:szCs w:val="16"/>
              </w:rPr>
              <w:t xml:space="preserve">(Section 3.8.6 / anomaly_engine.py – PSI/PAI Components)</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Can clinicians modify the fuzzy rules based on domain expertise?</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In the current implementation, fuzzy membership functions and rule weights are fixed to the empirically calibrated values from the 102-session normative dataset. Clinician-configurable rule editing is not supported in this version. This has been explicitly acknowledged as a limitation and added to the Recommendations section for future development.</w:t>
            </w:r>
          </w:p>
          <w:p>
            <w:pPr>
              <w:spacing w:after="0" w:before="40"/>
              <w:jc w:val="left"/>
            </w:pPr>
            <w:r>
              <w:rPr>
                <w:rFonts w:ascii="Arial" w:cs="Arial" w:eastAsia="Arial" w:hAnsi="Arial"/>
                <w:color w:val="555555"/>
                <w:sz w:val="16"/>
                <w:szCs w:val="16"/>
              </w:rPr>
              <w:t xml:space="preserve">(Section 3.6 – Fuzzy Classification / Recommendations)</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If the fuzzy rules are expert-defined, how do you prevent subjective bias from influencing the final classification?</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The fuzzy rules and membership function boundaries were not arbitrarily expert-defined — they were empirically calibrated against the 102-session normative dataset to achieve a flag distribution (RED ≈ 5%, AMBER ≈ 15%, GREEN ≈ 80%) consistent with expected healthy-population prevalence rates. This calibration basis and process was already documented in the manuscript.</w:t>
            </w:r>
          </w:p>
          <w:p>
            <w:pPr>
              <w:spacing w:after="0" w:before="40"/>
              <w:jc w:val="left"/>
            </w:pPr>
            <w:r>
              <w:rPr>
                <w:rFonts w:ascii="Arial" w:cs="Arial" w:eastAsia="Arial" w:hAnsi="Arial"/>
                <w:color w:val="555555"/>
                <w:sz w:val="16"/>
                <w:szCs w:val="16"/>
              </w:rPr>
              <w:t xml:space="preserve">(Section 3.6 – Fuzzy Classification / BUILD_CLINICAL.bat calibration notes)</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How should clinicians respond differently to GREEN, AMBER, and RED cases?</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The GREEN/AMBER/RED triage protocol with clinical response guidance was already part of the system output design. GREEN: within-normal range, log for longitudinal tracking. AMBER: moderate shift, follow-up with standardized instruments (PHQ-9, GAD-7) recommended. RED: significant anomaly exceeding p99, immediate clinical review recommended. These guidelines are displayed in the system report alongside each flag.</w:t>
            </w:r>
          </w:p>
          <w:p>
            <w:pPr>
              <w:spacing w:after="0" w:before="40"/>
              <w:jc w:val="left"/>
            </w:pPr>
            <w:r>
              <w:rPr>
                <w:rFonts w:ascii="Arial" w:cs="Arial" w:eastAsia="Arial" w:hAnsi="Arial"/>
                <w:color w:val="555555"/>
                <w:sz w:val="16"/>
                <w:szCs w:val="16"/>
              </w:rPr>
              <w:t xml:space="preserve">(Section 3.8.6 – Report Output / anomaly_engine.py)</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vMerge w:val="continue"/>
            <w:tcBorders>
              <w:top w:val="single" w:color="AAAAAA" w:sz="4"/>
              <w:left w:val="single" w:color="AAAAAA" w:sz="4"/>
              <w:bottom w:val="single" w:color="AAAAAA" w:sz="4"/>
              <w:right w:val="single" w:color="AAAAAA" w:sz="4"/>
            </w:tcBorders>
          </w:tcPr>
          <w:p/>
        </w:tc>
        <w:tc>
          <w:tcPr>
            <w:tcW w:type="dxa" w:w="252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What evidence supports that the 1.5× threshold is clinically meaningful rather than an arbitrary cutoff?</w:t>
            </w:r>
          </w:p>
        </w:tc>
        <w:tc>
          <w:tcPr>
            <w:tcW w:type="dxa" w:w="4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spacing w:after="60"/>
              <w:jc w:val="left"/>
            </w:pPr>
            <w:r>
              <w:rPr>
                <w:rFonts w:ascii="Arial" w:cs="Arial" w:eastAsia="Arial" w:hAnsi="Arial"/>
                <w:color w:val="000000"/>
                <w:sz w:val="18"/>
                <w:szCs w:val="18"/>
              </w:rPr>
              <w:t xml:space="preserve">The system does not use a fixed 1.5× multiplier as its primary threshold. From the initial design, thresholds were set using empirical bootstrap quantiles (p95 for AMBER, p99 for RED) derived from the actual 102-session normative population — not from an arbitrary multiplier. This population-grounded threshold rationale was already documented in the manuscript and calibration notes.</w:t>
            </w:r>
          </w:p>
          <w:p>
            <w:pPr>
              <w:spacing w:after="0" w:before="40"/>
              <w:jc w:val="left"/>
            </w:pPr>
            <w:r>
              <w:rPr>
                <w:rFonts w:ascii="Arial" w:cs="Arial" w:eastAsia="Arial" w:hAnsi="Arial"/>
                <w:color w:val="555555"/>
                <w:sz w:val="16"/>
                <w:szCs w:val="16"/>
              </w:rPr>
              <w:t xml:space="preserve">(Section 3.5.2 / 3.6 – Bootstrap Thresholds / anomaly_engine.py BOOTSTRAP_THRESHOLDS)</w:t>
            </w:r>
          </w:p>
        </w:tc>
        <w:tc>
          <w:tcPr>
            <w:tcW w:type="dxa" w:w="840"/>
            <w:tcBorders>
              <w:top w:val="single" w:color="AAAAAA" w:sz="4"/>
              <w:left w:val="single" w:color="AAAAAA" w:sz="4"/>
              <w:bottom w:val="single" w:color="AAAAAA" w:sz="4"/>
              <w:right w:val="single" w:color="AAAAAA" w:sz="4"/>
            </w:tcBorders>
            <w:shd w:fill="E8F5E9" w:val="clear"/>
            <w:tcMar>
              <w:top w:type="dxa" w:w="80"/>
              <w:left w:type="dxa" w:w="80"/>
              <w:bottom w:type="dxa" w:w="80"/>
              <w:right w:type="dxa" w:w="80"/>
            </w:tcMar>
            <w:vAlign w:val="center"/>
          </w:tcPr>
          <w:p>
            <w:pPr>
              <w:spacing w:after="60"/>
              <w:jc w:val="center"/>
            </w:pPr>
            <w:r>
              <w:rPr>
                <w:rFonts w:ascii="Arial" w:cs="Arial" w:eastAsia="Arial" w:hAnsi="Arial"/>
                <w:b/>
                <w:bCs/>
                <w:color w:val="1D6A00"/>
                <w:sz w:val="18"/>
                <w:szCs w:val="18"/>
              </w:rPr>
              <w:t xml:space="preserve">OK</w:t>
            </w:r>
          </w:p>
        </w:tc>
      </w:tr>
      <w:tr>
        <w:tc>
          <w:tcPr>
            <w:tcW w:type="dxa" w:w="9360"/>
            <w:gridSpan w:val="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spacing w:after="60"/>
              <w:jc w:val="left"/>
            </w:pPr>
            <w:r>
              <w:rPr>
                <w:rFonts w:ascii="Arial" w:cs="Arial" w:eastAsia="Arial" w:hAnsi="Arial"/>
                <w:b/>
                <w:bCs/>
                <w:color w:val="000000"/>
                <w:sz w:val="18"/>
                <w:szCs w:val="18"/>
              </w:rPr>
              <w:t xml:space="preserve">Panel's Signature:   _______________________________</w:t>
            </w:r>
          </w:p>
        </w:tc>
      </w:tr>
    </w:tbl>
    <w:p>
      <w:pPr>
        <w:spacing w:after="60"/>
        <w:jc w:val="left"/>
      </w:pP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6d8985ce2ed5e0078f7f9cbc41f8d8498a3bb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2026-06-15T05:58:01.377Z</dcterms:created>
  <dcterms:modified xsi:type="dcterms:W3CDTF">2026-06-15T05:58:01.382Z</dcterms:modified>
</cp:coreProperties>
</file>

<file path=docProps/custom.xml><?xml version="1.0" encoding="utf-8"?>
<Properties xmlns="http://schemas.openxmlformats.org/officeDocument/2006/custom-properties" xmlns:vt="http://schemas.openxmlformats.org/officeDocument/2006/docPropsVTypes"/>
</file>