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PsyClick Clinical Decision Support System</w:t>
      </w:r>
    </w:p>
    <w:p>
      <w:pPr>
        <w:jc w:val="center"/>
      </w:pPr>
      <w:r>
        <w:t>CS0029 Information Assurance and Security – User Manual</w:t>
      </w:r>
    </w:p>
    <w:p>
      <w:r>
        <w:t>Version: July 2026 | For controlled academic demonstration and approved research use</w:t>
      </w:r>
    </w:p>
    <w:p>
      <w:pPr>
        <w:pStyle w:val="Heading1"/>
      </w:pPr>
      <w:r>
        <w:t>Important Safety and Privacy Notice</w:t>
      </w:r>
    </w:p>
    <w:p>
      <w:r>
        <w:t>PsyClick is non-diagnostic decision support. It does not replace clinical judgment, risk assessment, or emergency procedures. Use only approved synthetic, de-identified, or consented data. Do not treat Green/Amber/Red flags as diagnoses.</w:t>
      </w:r>
    </w:p>
    <w:p>
      <w:pPr>
        <w:pStyle w:val="Heading1"/>
      </w:pPr>
      <w:r>
        <w:t>1. Start the Application</w:t>
      </w:r>
    </w:p>
    <w:p>
      <w:pPr>
        <w:pStyle w:val="ListNumber"/>
      </w:pPr>
      <w:r>
        <w:t>Use a supported workstation with current patches, endpoint protection, automatic screen lock, and restricted physical access.</w:t>
      </w:r>
    </w:p>
    <w:p>
      <w:pPr>
        <w:pStyle w:val="ListNumber"/>
      </w:pPr>
      <w:r>
        <w:t>Launch the packaged PsyClick application. Confirm the API readiness indicator before signing in.</w:t>
      </w:r>
    </w:p>
    <w:p>
      <w:pPr>
        <w:pStyle w:val="ListNumber"/>
      </w:pPr>
      <w:r>
        <w:t>Use an individual clinician account. Never share credentials or use the development/test bypass.</w:t>
      </w:r>
    </w:p>
    <w:p>
      <w:pPr>
        <w:pStyle w:val="Heading1"/>
      </w:pPr>
      <w:r>
        <w:t>2. Sign In and Verify Identity</w:t>
      </w:r>
    </w:p>
    <w:p>
      <w:r>
        <w:t>Enter the clinician ID and password. A successful login opens the dashboard and records an audit event. Invalid attempts must be reported if repeated. In the current prototype, server-side sessions, lockout, MFA, and secure password hashing remain hardening requirements; do not deploy with real clinical data until those controls are verified.</w:t>
      </w:r>
    </w:p>
    <w:p>
      <w:pPr>
        <w:pStyle w:val="Heading1"/>
      </w:pPr>
      <w:r>
        <w:t>3. Create a Client Context and Record Consent</w:t>
      </w:r>
    </w:p>
    <w:p>
      <w:pPr>
        <w:pStyle w:val="ListNumber"/>
      </w:pPr>
      <w:r>
        <w:t>Create or select a pseudonymous client identifier; avoid unnecessary names, addresses, or other direct identifiers.</w:t>
      </w:r>
    </w:p>
    <w:p>
      <w:pPr>
        <w:pStyle w:val="ListNumber"/>
      </w:pPr>
      <w:r>
        <w:t>Explain the purpose, features captured, retention, limits, and non-diagnostic nature of the system.</w:t>
      </w:r>
    </w:p>
    <w:p>
      <w:pPr>
        <w:pStyle w:val="ListNumber"/>
      </w:pPr>
      <w:r>
        <w:t>Record the participant’s informed consent before starting telemetry. The supplied UI has a consent checkbox; the backend consent record and fail-closed validation are required before production use.</w:t>
      </w:r>
    </w:p>
    <w:p>
      <w:pPr>
        <w:pStyle w:val="Heading1"/>
      </w:pPr>
      <w:r>
        <w:t>4. Run Calibration and Assessment</w:t>
      </w:r>
    </w:p>
    <w:p>
      <w:pPr>
        <w:pStyle w:val="ListNumber"/>
      </w:pPr>
      <w:r>
        <w:t>Run keyboard calibration, then mouse calibration, using the guided prompts.</w:t>
      </w:r>
    </w:p>
    <w:p>
      <w:pPr>
        <w:pStyle w:val="ListNumber"/>
      </w:pPr>
      <w:r>
        <w:t>Administer PHQ-9 and GAD-7 according to the approved study/clinical protocol.</w:t>
      </w:r>
    </w:p>
    <w:p>
      <w:pPr>
        <w:pStyle w:val="ListNumber"/>
      </w:pPr>
      <w:r>
        <w:t>Run the emotional-task prompts. Supervise the participant and stop if distress or technical instability occurs.</w:t>
      </w:r>
    </w:p>
    <w:p>
      <w:pPr>
        <w:pStyle w:val="ListNumber"/>
      </w:pPr>
      <w:r>
        <w:t>Allow the system to finalize the session. Do not close the application during analysis or database writes.</w:t>
      </w:r>
    </w:p>
    <w:p>
      <w:pPr>
        <w:pStyle w:val="Heading1"/>
      </w:pPr>
      <w:r>
        <w:t>5. Interpret the Dashboard and Report</w:t>
      </w:r>
    </w:p>
    <w:p>
      <w:r>
        <w:t>Review T², threshold, PSI, PAI, confidence, domain/level profiles, and the plain-language rationale. Compare the output with independent clinical observation. Record contextual factors and never infer a diagnosis from a flag alone.</w:t>
      </w:r>
    </w:p>
    <w:p>
      <w:pPr>
        <w:pStyle w:val="Heading1"/>
      </w:pPr>
      <w:r>
        <w:t>6. Export and Handle Reports</w:t>
      </w:r>
    </w:p>
    <w:p>
      <w:pPr>
        <w:pStyle w:val="ListNumber"/>
      </w:pPr>
      <w:r>
        <w:t>Export only when necessary and only to an approved protected destination.</w:t>
      </w:r>
    </w:p>
    <w:p>
      <w:pPr>
        <w:pStyle w:val="ListNumber"/>
      </w:pPr>
      <w:r>
        <w:t>Treat reports as restricted clinical/behavioral information. Do not email or upload unencrypted reports.</w:t>
      </w:r>
    </w:p>
    <w:p>
      <w:pPr>
        <w:pStyle w:val="ListNumber"/>
      </w:pPr>
      <w:r>
        <w:t>Verify that the export is classified and logged. The current prototype’s plaintext HTML export must be encrypted before institutional deployment.</w:t>
      </w:r>
    </w:p>
    <w:p>
      <w:pPr>
        <w:pStyle w:val="Heading1"/>
      </w:pPr>
      <w:r>
        <w:t>7. Audit, Logout, and Close</w:t>
      </w:r>
    </w:p>
    <w:p>
      <w:pPr>
        <w:pStyle w:val="ListNumber"/>
      </w:pPr>
      <w:r>
        <w:t>Use the Audit page to review login, consent, access, export, configuration, and backup events.</w:t>
      </w:r>
    </w:p>
    <w:p>
      <w:pPr>
        <w:pStyle w:val="ListNumber"/>
      </w:pPr>
      <w:r>
        <w:t>Log out after the session. Lock the workstation whenever it is unattended.</w:t>
      </w:r>
    </w:p>
    <w:p>
      <w:pPr>
        <w:pStyle w:val="ListNumber"/>
      </w:pPr>
      <w:r>
        <w:t>Discard or securely delete temporary files and follow the approved retention schedule.</w:t>
      </w:r>
    </w:p>
    <w:p>
      <w:pPr>
        <w:pStyle w:val="Heading1"/>
      </w:pPr>
      <w:r>
        <w:t>8. Administrator and Recovery Tasks</w:t>
      </w:r>
    </w:p>
    <w:p>
      <w:r>
        <w:t>Administrators must provision least-privilege accounts, review failed logins and unusual exports, verify encrypted backups, perform restore drills, and activate the incident-response plan for suspected disclosure, malware, consent failure, corruption, or unauthorized access. The current prototype does not yet evidence a complete backup/restore implementation; this is a release gate.</w:t>
      </w:r>
    </w:p>
    <w:p>
      <w:pPr>
        <w:pStyle w:val="Heading1"/>
      </w:pPr>
      <w:r>
        <w:t>Troubleshooting</w:t>
      </w:r>
    </w:p>
    <w:p>
      <w:r>
        <w:t>If the API is unavailable, restart the application and confirm the packaged backend is running on the loopback interface. If a session fails, preserve the audit information, do not reuse an uncertain partial report, and notify the system administrator. Do not expose database files or credentials while troubleshooting.</w:t>
      </w:r>
    </w:p>
    <w:p>
      <w:pPr>
        <w:pStyle w:val="Heading1"/>
      </w:pPr>
      <w:r>
        <w:t>Support and Escalation</w:t>
      </w:r>
    </w:p>
    <w:p>
      <w:r>
        <w:t>Report security incidents immediately to the Incident Coordinator, System Administrator, Data Protection Officer/Privacy Lead, and Clinical Lead using the response plan in the CS0029 Security Document.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PsyClick – CS0029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PsyClick CS0029 User Manual</dc:title>
  <dc:subject>Clinician and administrator operating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