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5612" w14:textId="77777777" w:rsidR="007E7AFF" w:rsidRPr="00BE31D7" w:rsidRDefault="00000000">
      <w:pPr>
        <w:pStyle w:val="Heading1"/>
        <w:spacing w:line="276" w:lineRule="auto"/>
        <w:jc w:val="center"/>
        <w:rPr>
          <w:rFonts w:ascii="Comic Sans MS" w:eastAsia="Times New Roman" w:hAnsi="Comic Sans MS" w:cs="Times New Roman"/>
          <w:b/>
          <w:bCs/>
          <w:color w:val="000000"/>
          <w:sz w:val="26"/>
          <w:szCs w:val="26"/>
          <w:highlight w:val="white"/>
        </w:rPr>
      </w:pPr>
      <w:bookmarkStart w:id="0" w:name="_v9tu2v303ddx" w:colFirst="0" w:colLast="0"/>
      <w:bookmarkEnd w:id="0"/>
      <w:proofErr w:type="spellStart"/>
      <w:r w:rsidRPr="00BE31D7">
        <w:rPr>
          <w:rFonts w:ascii="Comic Sans MS" w:eastAsia="Times New Roman" w:hAnsi="Comic Sans MS" w:cs="Times New Roman"/>
          <w:b/>
          <w:bCs/>
          <w:color w:val="000000"/>
          <w:sz w:val="26"/>
          <w:szCs w:val="26"/>
          <w:highlight w:val="white"/>
        </w:rPr>
        <w:t>PsyClick</w:t>
      </w:r>
      <w:proofErr w:type="spellEnd"/>
      <w:r w:rsidRPr="00BE31D7">
        <w:rPr>
          <w:rFonts w:ascii="Comic Sans MS" w:eastAsia="Times New Roman" w:hAnsi="Comic Sans MS" w:cs="Times New Roman"/>
          <w:b/>
          <w:bCs/>
          <w:color w:val="000000"/>
          <w:sz w:val="26"/>
          <w:szCs w:val="26"/>
          <w:highlight w:val="white"/>
        </w:rPr>
        <w:t>: Clinical Decision Support System for Detecting Single-Session Psychomotor Disturbances via EWMA-Based Multivariate Analysis</w:t>
      </w:r>
    </w:p>
    <w:p w14:paraId="41C3B71F" w14:textId="77777777" w:rsidR="007E7AFF" w:rsidRPr="00BE31D7" w:rsidRDefault="00000000">
      <w:pPr>
        <w:pStyle w:val="Heading1"/>
        <w:spacing w:line="276" w:lineRule="auto"/>
        <w:jc w:val="center"/>
        <w:rPr>
          <w:rFonts w:ascii="Comic Sans MS" w:eastAsia="Times New Roman" w:hAnsi="Comic Sans MS" w:cs="Times New Roman"/>
          <w:b/>
          <w:bCs/>
          <w:color w:val="000000"/>
          <w:sz w:val="26"/>
          <w:szCs w:val="26"/>
          <w:highlight w:val="white"/>
        </w:rPr>
        <w:sectPr w:rsidR="007E7AFF" w:rsidRPr="00BE31D7">
          <w:headerReference w:type="default" r:id="rId6"/>
          <w:footerReference w:type="default" r:id="rId7"/>
          <w:pgSz w:w="12240" w:h="15840"/>
          <w:pgMar w:top="1080" w:right="1080" w:bottom="1080" w:left="1080" w:header="708" w:footer="708" w:gutter="0"/>
          <w:pgNumType w:start="1"/>
          <w:cols w:space="720"/>
        </w:sectPr>
      </w:pPr>
      <w:bookmarkStart w:id="1" w:name="_fl6u1m64gc6u" w:colFirst="0" w:colLast="0"/>
      <w:bookmarkEnd w:id="1"/>
      <w:r w:rsidRPr="00BE31D7">
        <w:rPr>
          <w:rFonts w:ascii="Comic Sans MS" w:eastAsia="Times New Roman" w:hAnsi="Comic Sans MS" w:cs="Times New Roman"/>
          <w:b/>
          <w:bCs/>
          <w:color w:val="000000"/>
          <w:sz w:val="26"/>
          <w:szCs w:val="26"/>
          <w:highlight w:val="white"/>
        </w:rPr>
        <w:t>of Keystroke and Cursor Dynamics</w:t>
      </w:r>
    </w:p>
    <w:p w14:paraId="0C54FE26" w14:textId="77777777" w:rsidR="007E7AFF" w:rsidRPr="00BE31D7" w:rsidRDefault="007E7AFF">
      <w:pPr>
        <w:spacing w:after="200" w:line="276" w:lineRule="auto"/>
        <w:rPr>
          <w:rFonts w:ascii="Comic Sans MS" w:eastAsia="Times New Roman" w:hAnsi="Comic Sans MS" w:cs="Times New Roman"/>
          <w:b/>
          <w:bCs/>
          <w:sz w:val="26"/>
          <w:szCs w:val="26"/>
        </w:rPr>
      </w:pPr>
    </w:p>
    <w:p w14:paraId="33A6C222" w14:textId="77777777" w:rsidR="007E7AFF" w:rsidRPr="00BE31D7" w:rsidRDefault="00000000">
      <w:pPr>
        <w:spacing w:after="200"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  <w:r w:rsidRPr="00BE31D7">
        <w:rPr>
          <w:rFonts w:ascii="Comic Sans MS" w:eastAsia="Times New Roman" w:hAnsi="Comic Sans MS" w:cs="Times New Roman"/>
          <w:sz w:val="26"/>
          <w:szCs w:val="26"/>
        </w:rPr>
        <w:t>by</w:t>
      </w:r>
    </w:p>
    <w:p w14:paraId="1F727363" w14:textId="77777777" w:rsidR="007E7AFF" w:rsidRPr="00BE31D7" w:rsidRDefault="007E7AFF">
      <w:pPr>
        <w:spacing w:after="200"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</w:p>
    <w:p w14:paraId="04C15910" w14:textId="77777777" w:rsidR="007E7AFF" w:rsidRPr="00BE31D7" w:rsidRDefault="00000000">
      <w:pPr>
        <w:spacing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Ayaay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 xml:space="preserve">, </w:t>
      </w: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Martonie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 xml:space="preserve"> </w:t>
      </w: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Loreign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 xml:space="preserve"> L.</w:t>
      </w:r>
    </w:p>
    <w:p w14:paraId="088261DB" w14:textId="77777777" w:rsidR="007E7AFF" w:rsidRPr="00BE31D7" w:rsidRDefault="00000000">
      <w:pPr>
        <w:spacing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Ballano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>, Denise Nicole M.</w:t>
      </w:r>
    </w:p>
    <w:p w14:paraId="0CF0B407" w14:textId="77777777" w:rsidR="007E7AFF" w:rsidRPr="00BE31D7" w:rsidRDefault="00000000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sz w:val="26"/>
          <w:szCs w:val="26"/>
        </w:rPr>
      </w:pP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Huertas,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 xml:space="preserve"> Lana Denise R.</w:t>
      </w:r>
    </w:p>
    <w:p w14:paraId="09371D21" w14:textId="77777777" w:rsidR="007E7AFF" w:rsidRPr="00BE31D7" w:rsidRDefault="00000000">
      <w:pPr>
        <w:spacing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Tablate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>, Judea Ann C.</w:t>
      </w:r>
    </w:p>
    <w:p w14:paraId="22653163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sz w:val="26"/>
          <w:szCs w:val="26"/>
        </w:rPr>
      </w:pPr>
    </w:p>
    <w:p w14:paraId="1F2477DC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sz w:val="26"/>
          <w:szCs w:val="26"/>
        </w:rPr>
      </w:pPr>
    </w:p>
    <w:p w14:paraId="5517050B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sz w:val="26"/>
          <w:szCs w:val="26"/>
        </w:rPr>
      </w:pPr>
    </w:p>
    <w:p w14:paraId="6F2953D4" w14:textId="77777777" w:rsidR="007E7AFF" w:rsidRPr="00BE31D7" w:rsidRDefault="00000000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sz w:val="26"/>
          <w:szCs w:val="26"/>
        </w:rPr>
      </w:pPr>
      <w:r w:rsidRPr="00BE31D7">
        <w:rPr>
          <w:rFonts w:ascii="Comic Sans MS" w:eastAsia="Times New Roman" w:hAnsi="Comic Sans MS" w:cs="Times New Roman"/>
          <w:b/>
          <w:bCs/>
          <w:sz w:val="26"/>
          <w:szCs w:val="26"/>
        </w:rPr>
        <w:t>Live Demonstration Script</w:t>
      </w:r>
    </w:p>
    <w:p w14:paraId="1F81EE3E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</w:p>
    <w:p w14:paraId="569D8EAC" w14:textId="77777777" w:rsidR="007E7AFF" w:rsidRPr="00BE31D7" w:rsidRDefault="007E7AFF">
      <w:pPr>
        <w:spacing w:line="276" w:lineRule="auto"/>
        <w:rPr>
          <w:rFonts w:ascii="Comic Sans MS" w:eastAsia="Times New Roman" w:hAnsi="Comic Sans MS" w:cs="Times New Roman"/>
          <w:sz w:val="26"/>
          <w:szCs w:val="26"/>
        </w:rPr>
      </w:pPr>
    </w:p>
    <w:p w14:paraId="757747A1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sz w:val="26"/>
          <w:szCs w:val="26"/>
        </w:rPr>
      </w:pPr>
    </w:p>
    <w:p w14:paraId="7C03E1F2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sz w:val="26"/>
          <w:szCs w:val="26"/>
        </w:rPr>
      </w:pPr>
    </w:p>
    <w:p w14:paraId="3C0007DC" w14:textId="77777777" w:rsidR="007E7AFF" w:rsidRPr="00BE31D7" w:rsidRDefault="00000000">
      <w:pPr>
        <w:spacing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  <w:r w:rsidRPr="00BE31D7">
        <w:rPr>
          <w:rFonts w:ascii="Comic Sans MS" w:eastAsia="Times New Roman" w:hAnsi="Comic Sans MS" w:cs="Times New Roman"/>
          <w:sz w:val="26"/>
          <w:szCs w:val="26"/>
        </w:rPr>
        <w:t>FEU Institute of Technology</w:t>
      </w:r>
    </w:p>
    <w:p w14:paraId="683A6201" w14:textId="77777777" w:rsidR="007E7AFF" w:rsidRPr="00BE31D7" w:rsidRDefault="00000000">
      <w:pPr>
        <w:spacing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  <w:r w:rsidRPr="00BE31D7">
        <w:rPr>
          <w:rFonts w:ascii="Comic Sans MS" w:eastAsia="Times New Roman" w:hAnsi="Comic Sans MS" w:cs="Times New Roman"/>
          <w:sz w:val="26"/>
          <w:szCs w:val="26"/>
        </w:rPr>
        <w:t>July 2026</w:t>
      </w:r>
    </w:p>
    <w:p w14:paraId="22CEAD76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</w:pPr>
    </w:p>
    <w:p w14:paraId="6DE14D53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</w:pPr>
    </w:p>
    <w:p w14:paraId="77605199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</w:pPr>
    </w:p>
    <w:p w14:paraId="452762E0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</w:pPr>
    </w:p>
    <w:p w14:paraId="130914CD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</w:pPr>
    </w:p>
    <w:p w14:paraId="5E6FC5C0" w14:textId="77777777" w:rsidR="007E7AFF" w:rsidRPr="00BE31D7" w:rsidRDefault="007E7AFF">
      <w:pPr>
        <w:spacing w:line="276" w:lineRule="auto"/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</w:pPr>
    </w:p>
    <w:p w14:paraId="01024952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b/>
          <w:bCs/>
          <w:i/>
          <w:iCs/>
          <w:sz w:val="26"/>
          <w:szCs w:val="26"/>
        </w:rPr>
      </w:pPr>
    </w:p>
    <w:p w14:paraId="4FC377D9" w14:textId="77777777" w:rsidR="007E7AFF" w:rsidRPr="00BE31D7" w:rsidRDefault="00000000">
      <w:pPr>
        <w:spacing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  <w:r w:rsidRPr="00BE31D7">
        <w:rPr>
          <w:rFonts w:ascii="Comic Sans MS" w:eastAsia="Times New Roman" w:hAnsi="Comic Sans MS" w:cs="Times New Roman"/>
          <w:sz w:val="26"/>
          <w:szCs w:val="26"/>
        </w:rPr>
        <w:t xml:space="preserve">©2026 </w:t>
      </w: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Ayaay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 xml:space="preserve">, </w:t>
      </w: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Martonie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 xml:space="preserve"> </w:t>
      </w: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Loreign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 xml:space="preserve"> L., </w:t>
      </w: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Ballano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>, Denise Nicole M.,</w:t>
      </w:r>
    </w:p>
    <w:p w14:paraId="18D9AE5B" w14:textId="77777777" w:rsidR="007E7AFF" w:rsidRPr="00BE31D7" w:rsidRDefault="00000000">
      <w:pPr>
        <w:spacing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Huertas,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 xml:space="preserve"> Lana Denise R., </w:t>
      </w:r>
      <w:proofErr w:type="spellStart"/>
      <w:r w:rsidRPr="00BE31D7">
        <w:rPr>
          <w:rFonts w:ascii="Comic Sans MS" w:eastAsia="Times New Roman" w:hAnsi="Comic Sans MS" w:cs="Times New Roman"/>
          <w:sz w:val="26"/>
          <w:szCs w:val="26"/>
        </w:rPr>
        <w:t>Tablate</w:t>
      </w:r>
      <w:proofErr w:type="spellEnd"/>
      <w:r w:rsidRPr="00BE31D7">
        <w:rPr>
          <w:rFonts w:ascii="Comic Sans MS" w:eastAsia="Times New Roman" w:hAnsi="Comic Sans MS" w:cs="Times New Roman"/>
          <w:sz w:val="26"/>
          <w:szCs w:val="26"/>
        </w:rPr>
        <w:t>, Judea Ann C.</w:t>
      </w:r>
    </w:p>
    <w:p w14:paraId="720294EC" w14:textId="77777777" w:rsidR="007E7AFF" w:rsidRPr="00BE31D7" w:rsidRDefault="00000000">
      <w:pPr>
        <w:spacing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  <w:r w:rsidRPr="00BE31D7">
        <w:rPr>
          <w:rFonts w:ascii="Comic Sans MS" w:eastAsia="Times New Roman" w:hAnsi="Comic Sans MS" w:cs="Times New Roman"/>
          <w:sz w:val="26"/>
          <w:szCs w:val="26"/>
        </w:rPr>
        <w:t>All Rights Reserved</w:t>
      </w:r>
    </w:p>
    <w:p w14:paraId="681826F4" w14:textId="77777777" w:rsidR="007E7AFF" w:rsidRPr="00BE31D7" w:rsidRDefault="007E7AFF">
      <w:pPr>
        <w:spacing w:line="276" w:lineRule="auto"/>
        <w:jc w:val="center"/>
        <w:rPr>
          <w:rFonts w:ascii="Comic Sans MS" w:eastAsia="Times New Roman" w:hAnsi="Comic Sans MS" w:cs="Times New Roman"/>
          <w:sz w:val="26"/>
          <w:szCs w:val="26"/>
        </w:rPr>
      </w:pPr>
    </w:p>
    <w:p w14:paraId="019B5D59" w14:textId="77777777" w:rsidR="007E7AFF" w:rsidRPr="00BE31D7" w:rsidRDefault="007E7AFF">
      <w:pPr>
        <w:pStyle w:val="Title"/>
        <w:spacing w:after="100" w:line="480" w:lineRule="auto"/>
        <w:jc w:val="both"/>
        <w:rPr>
          <w:rFonts w:ascii="Comic Sans MS" w:eastAsia="Times New Roman" w:hAnsi="Comic Sans MS" w:cs="Times New Roman"/>
          <w:sz w:val="26"/>
          <w:szCs w:val="26"/>
        </w:rPr>
        <w:sectPr w:rsidR="007E7AFF" w:rsidRPr="00BE31D7">
          <w:type w:val="continuous"/>
          <w:pgSz w:w="12240" w:h="15840"/>
          <w:pgMar w:top="1440" w:right="1440" w:bottom="1440" w:left="2160" w:header="720" w:footer="720" w:gutter="0"/>
          <w:cols w:space="720"/>
          <w:titlePg/>
        </w:sectPr>
      </w:pPr>
    </w:p>
    <w:p w14:paraId="4058D8BA" w14:textId="77777777" w:rsidR="007E7AFF" w:rsidRPr="00BE31D7" w:rsidRDefault="00000000">
      <w:pPr>
        <w:spacing w:after="200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606060"/>
          <w:sz w:val="26"/>
          <w:szCs w:val="26"/>
        </w:rPr>
        <w:lastRenderedPageBreak/>
        <w:t xml:space="preserve">How to read this: text in normal type is spoken aloud. Text in [ gray </w:t>
      </w:r>
      <w:proofErr w:type="gramStart"/>
      <w:r w:rsidRPr="00BE31D7">
        <w:rPr>
          <w:rFonts w:ascii="Comic Sans MS" w:hAnsi="Comic Sans MS"/>
          <w:i/>
          <w:color w:val="606060"/>
          <w:sz w:val="26"/>
          <w:szCs w:val="26"/>
        </w:rPr>
        <w:t>brackets ]</w:t>
      </w:r>
      <w:proofErr w:type="gramEnd"/>
      <w:r w:rsidRPr="00BE31D7">
        <w:rPr>
          <w:rFonts w:ascii="Comic Sans MS" w:hAnsi="Comic Sans MS"/>
          <w:i/>
          <w:color w:val="606060"/>
          <w:sz w:val="26"/>
          <w:szCs w:val="26"/>
        </w:rPr>
        <w:t xml:space="preserve"> is an action to perform — do it, do not read it. Speak slowly; pause where you see a paragraph break. Estimated time: 15–18 minutes.</w:t>
      </w:r>
    </w:p>
    <w:p w14:paraId="2B7F36A8" w14:textId="77777777" w:rsidR="007E7AFF" w:rsidRPr="00BE31D7" w:rsidRDefault="00000000">
      <w:pPr>
        <w:pStyle w:val="Heading1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b/>
          <w:sz w:val="26"/>
          <w:szCs w:val="26"/>
        </w:rPr>
        <w:t>Opening</w:t>
      </w:r>
    </w:p>
    <w:p w14:paraId="4A609D3A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Have the app open on the landing screen, signed out. Screen visible to the panel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777C9DDF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 xml:space="preserve">Good morning. I’m going to give you a live walkthrough of </w:t>
      </w:r>
      <w:proofErr w:type="spellStart"/>
      <w:r w:rsidRPr="00BE31D7">
        <w:rPr>
          <w:rFonts w:ascii="Comic Sans MS" w:hAnsi="Comic Sans MS"/>
          <w:sz w:val="26"/>
          <w:szCs w:val="26"/>
        </w:rPr>
        <w:t>PsyClick</w:t>
      </w:r>
      <w:proofErr w:type="spellEnd"/>
      <w:r w:rsidRPr="00BE31D7">
        <w:rPr>
          <w:rFonts w:ascii="Comic Sans MS" w:hAnsi="Comic Sans MS"/>
          <w:sz w:val="26"/>
          <w:szCs w:val="26"/>
        </w:rPr>
        <w:t xml:space="preserve"> Secure — our hardened clinical decision-support system. Everything you’ll see runs entirely on this workstation, offline, with no internet connection, and we’re using only synthetic, non-clinical data throughout.</w:t>
      </w:r>
    </w:p>
    <w:p w14:paraId="02C1721F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I’ll cover five things: how a clinician logs in, how we manage users and roles, the security controls built into the system, our audit trail, and finally a complete assessment session from start to finish.</w:t>
      </w:r>
    </w:p>
    <w:p w14:paraId="5243B759" w14:textId="77777777" w:rsidR="007E7AFF" w:rsidRPr="00BE31D7" w:rsidRDefault="00000000">
      <w:pPr>
        <w:pStyle w:val="Heading1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b/>
          <w:sz w:val="26"/>
          <w:szCs w:val="26"/>
        </w:rPr>
        <w:t>Part 1 — User Login</w:t>
      </w:r>
    </w:p>
    <w:p w14:paraId="0ADDB1FF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 xml:space="preserve">Let’s start with signing in. Access to </w:t>
      </w:r>
      <w:proofErr w:type="spellStart"/>
      <w:r w:rsidRPr="00BE31D7">
        <w:rPr>
          <w:rFonts w:ascii="Comic Sans MS" w:hAnsi="Comic Sans MS"/>
          <w:sz w:val="26"/>
          <w:szCs w:val="26"/>
        </w:rPr>
        <w:t>PsyClick</w:t>
      </w:r>
      <w:proofErr w:type="spellEnd"/>
      <w:r w:rsidRPr="00BE31D7">
        <w:rPr>
          <w:rFonts w:ascii="Comic Sans MS" w:hAnsi="Comic Sans MS"/>
          <w:sz w:val="26"/>
          <w:szCs w:val="26"/>
        </w:rPr>
        <w:t xml:space="preserve"> is by individual clinician account — there are no shared logins.</w:t>
      </w:r>
    </w:p>
    <w:p w14:paraId="760233E3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 xml:space="preserve">[ Enter the clinician ID and password for Dr. Clinician, and sign 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in. ]</w:t>
      </w:r>
      <w:proofErr w:type="gramEnd"/>
    </w:p>
    <w:p w14:paraId="4D8D8AC4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When I sign in, the system opens the clinician dashboard, and behind the scenes it records a login event to the audit trail — I’ll show you that trail later.</w:t>
      </w:r>
    </w:p>
    <w:p w14:paraId="4A11726B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 xml:space="preserve">A quick word on how we protect this login. Passwords are never stored in plain text — they’re protected with </w:t>
      </w:r>
      <w:proofErr w:type="spellStart"/>
      <w:r w:rsidRPr="00BE31D7">
        <w:rPr>
          <w:rFonts w:ascii="Comic Sans MS" w:hAnsi="Comic Sans MS"/>
          <w:sz w:val="26"/>
          <w:szCs w:val="26"/>
        </w:rPr>
        <w:t>scrypt</w:t>
      </w:r>
      <w:proofErr w:type="spellEnd"/>
      <w:r w:rsidRPr="00BE31D7">
        <w:rPr>
          <w:rFonts w:ascii="Comic Sans MS" w:hAnsi="Comic Sans MS"/>
          <w:sz w:val="26"/>
          <w:szCs w:val="26"/>
        </w:rPr>
        <w:t xml:space="preserve">, a memory-hard hashing algorithm, and we enforce a minimum length of twelve characters. Each session expires automatically when it’s </w:t>
      </w:r>
      <w:proofErr w:type="gramStart"/>
      <w:r w:rsidRPr="00BE31D7">
        <w:rPr>
          <w:rFonts w:ascii="Comic Sans MS" w:hAnsi="Comic Sans MS"/>
          <w:sz w:val="26"/>
          <w:szCs w:val="26"/>
        </w:rPr>
        <w:t>idle, and</w:t>
      </w:r>
      <w:proofErr w:type="gramEnd"/>
      <w:r w:rsidRPr="00BE31D7">
        <w:rPr>
          <w:rFonts w:ascii="Comic Sans MS" w:hAnsi="Comic Sans MS"/>
          <w:sz w:val="26"/>
          <w:szCs w:val="26"/>
        </w:rPr>
        <w:t xml:space="preserve"> can be revoked at any time.</w:t>
      </w:r>
    </w:p>
    <w:p w14:paraId="1A5F5E52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Now let me show you what happens when someone tries to break in.</w:t>
      </w:r>
    </w:p>
    <w:p w14:paraId="57B23565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Sign out. Then deliberately type a wrong password a few times on one account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6AB75A13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Every failed attempt is rejected and logged. After five failed attempts on a single account, that account is locked for fifteen minutes. And independently, if the system sees a burst of failures coming from one source, it throttles that source for about two minutes and writes a security alert.</w:t>
      </w:r>
    </w:p>
    <w:p w14:paraId="17078ACF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lastRenderedPageBreak/>
        <w:t>[ Continue the failed attempts until you see the “too many attempts” message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1764DD00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There it is — the intrusion monitor has kicked in. This is our first line of defense against password guessing and credential-stuffing attacks, and it’s working exactly as designed.</w:t>
      </w:r>
    </w:p>
    <w:p w14:paraId="137F0C83" w14:textId="77777777" w:rsidR="007E7AFF" w:rsidRPr="00BE31D7" w:rsidRDefault="00000000">
      <w:pPr>
        <w:pStyle w:val="Heading1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b/>
          <w:sz w:val="26"/>
          <w:szCs w:val="26"/>
        </w:rPr>
        <w:t>Part 2 — Role Management</w:t>
      </w:r>
    </w:p>
    <w:p w14:paraId="0C0FCA52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Next, let’s look at how we manage users and their roles. For this I’ll sign in as an administrator.</w:t>
      </w:r>
    </w:p>
    <w:p w14:paraId="54D15F44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Sign in as Dr. Admin. Open the Security Center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7F40855F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proofErr w:type="spellStart"/>
      <w:r w:rsidRPr="00BE31D7">
        <w:rPr>
          <w:rFonts w:ascii="Comic Sans MS" w:hAnsi="Comic Sans MS"/>
          <w:sz w:val="26"/>
          <w:szCs w:val="26"/>
        </w:rPr>
        <w:t>PsyClick</w:t>
      </w:r>
      <w:proofErr w:type="spellEnd"/>
      <w:r w:rsidRPr="00BE31D7">
        <w:rPr>
          <w:rFonts w:ascii="Comic Sans MS" w:hAnsi="Comic Sans MS"/>
          <w:sz w:val="26"/>
          <w:szCs w:val="26"/>
        </w:rPr>
        <w:t xml:space="preserve"> has three roles: administrator, clinician, and auditor. From the Security Center, an administrator can create accounts and assign each of these roles.</w:t>
      </w:r>
    </w:p>
    <w:p w14:paraId="69498D43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Create a new clinician account. Then create an auditor account, selecting the role from the dropdown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45BD3801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I’ve just created a clinician and an auditor. Here’s the account list, showing each user, their role, and their status. An administrator can also manage privileges — for example, deactivating or locking an account.</w:t>
      </w:r>
    </w:p>
    <w:p w14:paraId="071A5117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 xml:space="preserve">Now, the important part — this isn’t just labels. The roles are </w:t>
      </w:r>
      <w:proofErr w:type="gramStart"/>
      <w:r w:rsidRPr="00BE31D7">
        <w:rPr>
          <w:rFonts w:ascii="Comic Sans MS" w:hAnsi="Comic Sans MS"/>
          <w:sz w:val="26"/>
          <w:szCs w:val="26"/>
        </w:rPr>
        <w:t>actually enforced</w:t>
      </w:r>
      <w:proofErr w:type="gramEnd"/>
      <w:r w:rsidRPr="00BE31D7">
        <w:rPr>
          <w:rFonts w:ascii="Comic Sans MS" w:hAnsi="Comic Sans MS"/>
          <w:sz w:val="26"/>
          <w:szCs w:val="26"/>
        </w:rPr>
        <w:t>. Let me prove it.</w:t>
      </w:r>
    </w:p>
    <w:p w14:paraId="17A580DA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Sign out. Sign in as the clinician. Try to open the account-management / admin area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434CE617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As a clinician, when I try to reach the administrator area, the system denies it — insufficient permission. Clinicians are also scoped to their own records, so one clinician cannot open another clinician’s sessions.</w:t>
      </w:r>
    </w:p>
    <w:p w14:paraId="7823D15A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Sign out. Sign in as the auditor. Open the audit log; then try to open account management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11235119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And as an auditor, I can review the audit log — that’s the auditor’s job — but I’m blocked from managing accounts. This is least privilege: each role can do only what it needs to, and every denial is itself recorded as a security event.</w:t>
      </w:r>
    </w:p>
    <w:p w14:paraId="12EAF909" w14:textId="77777777" w:rsidR="007E7AFF" w:rsidRPr="00BE31D7" w:rsidRDefault="00000000">
      <w:pPr>
        <w:pStyle w:val="Heading1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b/>
          <w:sz w:val="26"/>
          <w:szCs w:val="26"/>
        </w:rPr>
        <w:t>Part 3 — Security Controls</w:t>
      </w:r>
    </w:p>
    <w:p w14:paraId="5B6096A6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lastRenderedPageBreak/>
        <w:t>Now let me highlight a few of the security controls built into the workflow, starting with consent.</w:t>
      </w:r>
    </w:p>
    <w:p w14:paraId="238049FB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As the clinician, create a session for the synthetic client DEMO-001, but do not record consent yet. Try to start the assessment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0BA2D656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Notice what just happened. I tried to start capturing data before recording the participant’s consent, and the system stopped me — it says recorded informed consent is required. This check runs on the server, not just in the interface, so capture simply cannot begin until consent exists. We call this fail-closed: if in doubt, it blocks.</w:t>
      </w:r>
    </w:p>
    <w:p w14:paraId="010564E8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Record consent, then show that the assessment can now proceed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46FCCC95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Once consent is recorded, the session proceeds normally.</w:t>
      </w:r>
    </w:p>
    <w:p w14:paraId="6B4141BA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Second, data protection. Let me create a backup.</w:t>
      </w:r>
    </w:p>
    <w:p w14:paraId="41835A75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Sign in as Dr. Admin if needed. Create an encrypted backup, then run backup verification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673204E8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Our backups and exports are encrypted using Windows DPAPI, and every backup is stamped with a SHA-256 integrity digest. When I verify the backup, the system re-checks that digest and validates the copy in an isolated location — so a corrupted or tampered backup is caught before anyone relies on it. And again, both the backup and the verification are written to the audit log.</w:t>
      </w:r>
    </w:p>
    <w:p w14:paraId="04F32049" w14:textId="77777777" w:rsidR="007E7AFF" w:rsidRPr="00BE31D7" w:rsidRDefault="00000000">
      <w:pPr>
        <w:pStyle w:val="Heading1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b/>
          <w:sz w:val="26"/>
          <w:szCs w:val="26"/>
        </w:rPr>
        <w:t>Part 4 — Audit Logs</w:t>
      </w:r>
    </w:p>
    <w:p w14:paraId="7E2A487D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That brings us to the audit trail, which ties everything together.</w:t>
      </w:r>
    </w:p>
    <w:p w14:paraId="372BD78D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Open the Audit page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27F904AE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This is our accountability record. Every meaningful action is here — logins, permission denials, consent, record access, exports, configuration changes, and backups — each stamped with who did it and when. You can see the events from this very demonstration listed in order.</w:t>
      </w:r>
    </w:p>
    <w:p w14:paraId="1735537E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lastRenderedPageBreak/>
        <w:t xml:space="preserve">But here’s what makes it trustworthy: the log is </w:t>
      </w:r>
      <w:proofErr w:type="gramStart"/>
      <w:r w:rsidRPr="00BE31D7">
        <w:rPr>
          <w:rFonts w:ascii="Comic Sans MS" w:hAnsi="Comic Sans MS"/>
          <w:sz w:val="26"/>
          <w:szCs w:val="26"/>
        </w:rPr>
        <w:t>hash-chained</w:t>
      </w:r>
      <w:proofErr w:type="gramEnd"/>
      <w:r w:rsidRPr="00BE31D7">
        <w:rPr>
          <w:rFonts w:ascii="Comic Sans MS" w:hAnsi="Comic Sans MS"/>
          <w:sz w:val="26"/>
          <w:szCs w:val="26"/>
        </w:rPr>
        <w:t>. Each entry carries a fingerprint of the entry before it, so if anyone edits or deletes even a single row, the chain breaks. Let me verify it.</w:t>
      </w:r>
    </w:p>
    <w:p w14:paraId="73D0B8CD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Run the audit-chain verification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294E7ADF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The verification confirms the chain is intact — no entries have been altered. That makes our audit log tamper-evident, which is essential for accountability in a clinical setting.</w:t>
      </w:r>
    </w:p>
    <w:p w14:paraId="42CC9427" w14:textId="77777777" w:rsidR="007E7AFF" w:rsidRPr="00BE31D7" w:rsidRDefault="00000000">
      <w:pPr>
        <w:pStyle w:val="Heading1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b/>
          <w:sz w:val="26"/>
          <w:szCs w:val="26"/>
        </w:rPr>
        <w:t>Part 5 — Core System Functionality</w:t>
      </w:r>
    </w:p>
    <w:p w14:paraId="3D5C7F86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 xml:space="preserve">Finally, let me walk you through a complete assessment session, which is what </w:t>
      </w:r>
      <w:proofErr w:type="spellStart"/>
      <w:r w:rsidRPr="00BE31D7">
        <w:rPr>
          <w:rFonts w:ascii="Comic Sans MS" w:hAnsi="Comic Sans MS"/>
          <w:sz w:val="26"/>
          <w:szCs w:val="26"/>
        </w:rPr>
        <w:t>PsyClick</w:t>
      </w:r>
      <w:proofErr w:type="spellEnd"/>
      <w:r w:rsidRPr="00BE31D7">
        <w:rPr>
          <w:rFonts w:ascii="Comic Sans MS" w:hAnsi="Comic Sans MS"/>
          <w:sz w:val="26"/>
          <w:szCs w:val="26"/>
        </w:rPr>
        <w:t xml:space="preserve"> is </w:t>
      </w:r>
      <w:proofErr w:type="gramStart"/>
      <w:r w:rsidRPr="00BE31D7">
        <w:rPr>
          <w:rFonts w:ascii="Comic Sans MS" w:hAnsi="Comic Sans MS"/>
          <w:sz w:val="26"/>
          <w:szCs w:val="26"/>
        </w:rPr>
        <w:t>actually for</w:t>
      </w:r>
      <w:proofErr w:type="gramEnd"/>
      <w:r w:rsidRPr="00BE31D7">
        <w:rPr>
          <w:rFonts w:ascii="Comic Sans MS" w:hAnsi="Comic Sans MS"/>
          <w:sz w:val="26"/>
          <w:szCs w:val="26"/>
        </w:rPr>
        <w:t>.</w:t>
      </w:r>
    </w:p>
    <w:p w14:paraId="20950BFA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As the clinician, select client DEMO-001 with consent recorded. Begin the session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10F93690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proofErr w:type="spellStart"/>
      <w:r w:rsidRPr="00BE31D7">
        <w:rPr>
          <w:rFonts w:ascii="Comic Sans MS" w:hAnsi="Comic Sans MS"/>
          <w:sz w:val="26"/>
          <w:szCs w:val="26"/>
        </w:rPr>
        <w:t>PsyClick</w:t>
      </w:r>
      <w:proofErr w:type="spellEnd"/>
      <w:r w:rsidRPr="00BE31D7">
        <w:rPr>
          <w:rFonts w:ascii="Comic Sans MS" w:hAnsi="Comic Sans MS"/>
          <w:sz w:val="26"/>
          <w:szCs w:val="26"/>
        </w:rPr>
        <w:t xml:space="preserve"> measures how a person types and moves the mouse — the timing and rhythm of their movements — to detect subtle psychomotor changes. We start by calibrating the keyboard and the </w:t>
      </w:r>
      <w:proofErr w:type="gramStart"/>
      <w:r w:rsidRPr="00BE31D7">
        <w:rPr>
          <w:rFonts w:ascii="Comic Sans MS" w:hAnsi="Comic Sans MS"/>
          <w:sz w:val="26"/>
          <w:szCs w:val="26"/>
        </w:rPr>
        <w:t>mouse</w:t>
      </w:r>
      <w:proofErr w:type="gramEnd"/>
      <w:r w:rsidRPr="00BE31D7">
        <w:rPr>
          <w:rFonts w:ascii="Comic Sans MS" w:hAnsi="Comic Sans MS"/>
          <w:sz w:val="26"/>
          <w:szCs w:val="26"/>
        </w:rPr>
        <w:t xml:space="preserve"> so the measurements are consistent across devices.</w:t>
      </w:r>
    </w:p>
    <w:p w14:paraId="43AEE364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Run keyboard calibration, then mouse calibration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27564C32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Next, the participant completes two standard screening questionnaires — the PHQ-9 and the GAD-7 — followed by a few short emotional-task prompts, where we capture keystroke and cursor dynamics as they type.</w:t>
      </w:r>
    </w:p>
    <w:p w14:paraId="34B5DDFA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 xml:space="preserve">[ Administer PHQ-9 and GAD-7, then run the emotional-task prompts with 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short typed</w:t>
      </w:r>
      <w:proofErr w:type="gramEnd"/>
      <w:r w:rsidRPr="00BE31D7">
        <w:rPr>
          <w:rFonts w:ascii="Comic Sans MS" w:hAnsi="Comic Sans MS"/>
          <w:i/>
          <w:color w:val="707070"/>
          <w:sz w:val="26"/>
          <w:szCs w:val="26"/>
        </w:rPr>
        <w:t xml:space="preserve"> responses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4011820F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Now I’ll let the system finalize and compute the analysis. I won’t close the app while it’s processing.</w:t>
      </w:r>
    </w:p>
    <w:p w14:paraId="7AB742CD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Let the session finalize. Open the dashboard / report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638AAC01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 xml:space="preserve">And here are the results. This is the T-squared score — a single multivariate measure of how far this session deviates from the person’s own baseline — shown against its threshold. These two indices, PSI and PAI, break that score down: they </w:t>
      </w:r>
      <w:r w:rsidRPr="00BE31D7">
        <w:rPr>
          <w:rFonts w:ascii="Comic Sans MS" w:hAnsi="Comic Sans MS"/>
          <w:sz w:val="26"/>
          <w:szCs w:val="26"/>
        </w:rPr>
        <w:lastRenderedPageBreak/>
        <w:t>tell the clinician which behaviors drove it, whether the pattern looks like slowing or agitation.</w:t>
      </w:r>
    </w:p>
    <w:p w14:paraId="59F5942E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 xml:space="preserve">The overall signal is summarized as green, amber, or red, and — this is the key point — every flag comes with a plain-language rationale explaining why. </w:t>
      </w:r>
      <w:proofErr w:type="spellStart"/>
      <w:r w:rsidRPr="00BE31D7">
        <w:rPr>
          <w:rFonts w:ascii="Comic Sans MS" w:hAnsi="Comic Sans MS"/>
          <w:sz w:val="26"/>
          <w:szCs w:val="26"/>
        </w:rPr>
        <w:t>PsyClick</w:t>
      </w:r>
      <w:proofErr w:type="spellEnd"/>
      <w:r w:rsidRPr="00BE31D7">
        <w:rPr>
          <w:rFonts w:ascii="Comic Sans MS" w:hAnsi="Comic Sans MS"/>
          <w:sz w:val="26"/>
          <w:szCs w:val="26"/>
        </w:rPr>
        <w:t xml:space="preserve"> is a decision-support tool, not a diagnostic one. It amplifies a behavioral signal for the clinician; the clinician always combines it with their own professional judgment.</w:t>
      </w:r>
    </w:p>
    <w:p w14:paraId="3D427F2E" w14:textId="77777777" w:rsidR="007E7AFF" w:rsidRPr="00BE31D7" w:rsidRDefault="00000000">
      <w:pPr>
        <w:spacing w:after="160"/>
        <w:ind w:left="216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707070"/>
          <w:sz w:val="26"/>
          <w:szCs w:val="26"/>
        </w:rPr>
        <w:t>[ Export the session report to the approved protected destination</w:t>
      </w:r>
      <w:proofErr w:type="gramStart"/>
      <w:r w:rsidRPr="00BE31D7">
        <w:rPr>
          <w:rFonts w:ascii="Comic Sans MS" w:hAnsi="Comic Sans MS"/>
          <w:i/>
          <w:color w:val="707070"/>
          <w:sz w:val="26"/>
          <w:szCs w:val="26"/>
        </w:rPr>
        <w:t>. ]</w:t>
      </w:r>
      <w:proofErr w:type="gramEnd"/>
    </w:p>
    <w:p w14:paraId="3B15D2B7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Finally, I’ll export the session report to a protected destination — and, as you’d expect by now, that export is encrypted and recorded in the audit log.</w:t>
      </w:r>
    </w:p>
    <w:p w14:paraId="4F418980" w14:textId="77777777" w:rsidR="007E7AFF" w:rsidRPr="00BE31D7" w:rsidRDefault="00000000">
      <w:pPr>
        <w:pStyle w:val="Heading1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b/>
          <w:sz w:val="26"/>
          <w:szCs w:val="26"/>
        </w:rPr>
        <w:t>Closing</w:t>
      </w:r>
    </w:p>
    <w:p w14:paraId="2044D73B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proofErr w:type="gramStart"/>
      <w:r w:rsidRPr="00BE31D7">
        <w:rPr>
          <w:rFonts w:ascii="Comic Sans MS" w:hAnsi="Comic Sans MS"/>
          <w:sz w:val="26"/>
          <w:szCs w:val="26"/>
        </w:rPr>
        <w:t>So</w:t>
      </w:r>
      <w:proofErr w:type="gramEnd"/>
      <w:r w:rsidRPr="00BE31D7">
        <w:rPr>
          <w:rFonts w:ascii="Comic Sans MS" w:hAnsi="Comic Sans MS"/>
          <w:sz w:val="26"/>
          <w:szCs w:val="26"/>
        </w:rPr>
        <w:t xml:space="preserve"> to recap: individual, hardened logins with lockout and intrusion monitoring; real role-based access control; consent enforced fail-closed; encrypted, verifiable backups; a tamper-evident audit trail; and a complete, explainable, non-diagnostic assessment — all running securely and entirely offline on a single workstation.</w:t>
      </w:r>
    </w:p>
    <w:p w14:paraId="0C01C336" w14:textId="77777777" w:rsidR="007E7AFF" w:rsidRPr="00BE31D7" w:rsidRDefault="00000000">
      <w:pPr>
        <w:spacing w:after="200" w:line="276" w:lineRule="auto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sz w:val="26"/>
          <w:szCs w:val="26"/>
        </w:rPr>
        <w:t>That concludes the demonstration. We’re happy to take your questions.</w:t>
      </w:r>
    </w:p>
    <w:p w14:paraId="3AAA9AC0" w14:textId="77777777" w:rsidR="007E7AFF" w:rsidRPr="00BE31D7" w:rsidRDefault="00000000">
      <w:pPr>
        <w:pStyle w:val="Heading1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b/>
          <w:sz w:val="26"/>
          <w:szCs w:val="26"/>
        </w:rPr>
        <w:t>If Something Goes Wrong (do not read)</w:t>
      </w:r>
    </w:p>
    <w:p w14:paraId="3DFF9111" w14:textId="77777777" w:rsidR="007E7AFF" w:rsidRPr="00BE31D7" w:rsidRDefault="00000000">
      <w:pPr>
        <w:spacing w:after="200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606060"/>
          <w:sz w:val="26"/>
          <w:szCs w:val="26"/>
        </w:rPr>
        <w:t>• “API not available”: restart the app; confirm the backend is on 127.0.0.1:5101; no internet is needed.</w:t>
      </w:r>
    </w:p>
    <w:p w14:paraId="106D0070" w14:textId="77777777" w:rsidR="007E7AFF" w:rsidRPr="00BE31D7" w:rsidRDefault="00000000">
      <w:pPr>
        <w:spacing w:after="200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606060"/>
          <w:sz w:val="26"/>
          <w:szCs w:val="26"/>
        </w:rPr>
        <w:t>• Locked out or throttled mid-demo: wait for the cooldown, or switch to another pre-created account. Do not disable the monitor.</w:t>
      </w:r>
    </w:p>
    <w:p w14:paraId="40B67233" w14:textId="77777777" w:rsidR="007E7AFF" w:rsidRPr="00BE31D7" w:rsidRDefault="00000000">
      <w:pPr>
        <w:spacing w:after="200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606060"/>
          <w:sz w:val="26"/>
          <w:szCs w:val="26"/>
        </w:rPr>
        <w:t>• A step stalls: move to the next part and return later — the audit log preserves what was completed.</w:t>
      </w:r>
    </w:p>
    <w:p w14:paraId="3247DA22" w14:textId="77777777" w:rsidR="007E7AFF" w:rsidRPr="00BE31D7" w:rsidRDefault="00000000">
      <w:pPr>
        <w:spacing w:after="200"/>
        <w:rPr>
          <w:rFonts w:ascii="Comic Sans MS" w:hAnsi="Comic Sans MS"/>
          <w:sz w:val="26"/>
          <w:szCs w:val="26"/>
        </w:rPr>
      </w:pPr>
      <w:r w:rsidRPr="00BE31D7">
        <w:rPr>
          <w:rFonts w:ascii="Comic Sans MS" w:hAnsi="Comic Sans MS"/>
          <w:i/>
          <w:color w:val="606060"/>
          <w:sz w:val="26"/>
          <w:szCs w:val="26"/>
        </w:rPr>
        <w:t>• Use synthetic data only. Never show real credentials or patient information on screen.</w:t>
      </w:r>
    </w:p>
    <w:sectPr w:rsidR="007E7AFF" w:rsidRPr="00BE31D7">
      <w:type w:val="continuous"/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9A346" w14:textId="77777777" w:rsidR="008116C9" w:rsidRDefault="008116C9">
      <w:r>
        <w:separator/>
      </w:r>
    </w:p>
  </w:endnote>
  <w:endnote w:type="continuationSeparator" w:id="0">
    <w:p w14:paraId="58956BB0" w14:textId="77777777" w:rsidR="008116C9" w:rsidRDefault="00811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22EBF5-044D-40DF-84C6-EC0B4E45897F}"/>
    <w:embedBold r:id="rId2" w:fontKey="{55A0B962-B583-4C74-9450-9EC2CE07A40F}"/>
    <w:embedItalic r:id="rId3" w:fontKey="{FB5F6EFF-0AD4-4128-A4D0-92572ED5A5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0259379-4680-4464-AEB8-64AE6234A018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5" w:fontKey="{701AE458-7A9D-43F2-A63B-D0F19DA172D0}"/>
    <w:embedBold r:id="rId6" w:fontKey="{B8FF96C0-E20C-4622-8663-710B1B75174A}"/>
    <w:embedItalic r:id="rId7" w:fontKey="{68ECF796-661C-46CF-803C-782A29150141}"/>
    <w:embedBoldItalic r:id="rId8" w:fontKey="{0865284C-D986-4D79-8882-D8BD7E7ABB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E261D5A-F4D7-4EA7-8F9D-F0B899F265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CB5A6" w14:textId="77777777" w:rsidR="007E7AFF" w:rsidRDefault="00000000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EC1605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of </w:t>
    </w: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NUMPAGES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EC1605"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10B1E" w14:textId="77777777" w:rsidR="008116C9" w:rsidRDefault="008116C9">
      <w:r>
        <w:separator/>
      </w:r>
    </w:p>
  </w:footnote>
  <w:footnote w:type="continuationSeparator" w:id="0">
    <w:p w14:paraId="56DE7AFE" w14:textId="77777777" w:rsidR="008116C9" w:rsidRDefault="00811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0722" w14:textId="77777777" w:rsidR="007E7AFF" w:rsidRDefault="007E7AFF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AFF"/>
    <w:rsid w:val="007E7AFF"/>
    <w:rsid w:val="008116C9"/>
    <w:rsid w:val="00A10C9C"/>
    <w:rsid w:val="00BE31D7"/>
    <w:rsid w:val="00EC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C0D1"/>
  <w15:docId w15:val="{37CCE0C9-ABEF-4F42-B70D-DB5230A4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1317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HUERTAS, LANA DENISE</cp:lastModifiedBy>
  <cp:revision>3</cp:revision>
  <dcterms:created xsi:type="dcterms:W3CDTF">2026-07-12T05:36:00Z</dcterms:created>
  <dcterms:modified xsi:type="dcterms:W3CDTF">2026-07-12T05:37:00Z</dcterms:modified>
</cp:coreProperties>
</file>