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PsyClick Secure</w:t>
      </w:r>
    </w:p>
    <w:p>
      <w:pPr>
        <w:spacing w:after="60"/>
        <w:jc w:val="center"/>
      </w:pPr>
      <w:r>
        <w:rPr>
          <w:b/>
          <w:bCs/>
          <w:color w:val="1A3A3D"/>
          <w:sz w:val="32"/>
          <w:szCs w:val="32"/>
        </w:rPr>
        <w:t xml:space="preserve">Risk Assessment Report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CS0029 — Information Assurance and Security — Standalone Deep-Dive Deliverable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PsyClick Secure (psyclick-secure build)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CS0029 Final Project — Risk Assessment Report deliverable (Section IX)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Assessment date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July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psyclick-secure backend (api_server.py, database_manager.py, security_manager.py, backend_controller.py, intrusion_monitor.py, supabase_sync.py) and frontend (React/Electron) source tree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Source-code review, threat modeling (STRIDE), static analysis (bandit), dependency audit (npm audit), and qualitative likelihood/impact scoring; no live network penetration test was performed — see Security Testing Report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PsyClick thesis team, with source-level tooling evidence captured in this workspace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Purpose and Scope</w:t>
      </w:r>
    </w:p>
    <w:p>
      <w:pPr>
        <w:spacing w:after="160"/>
      </w:pPr>
      <w:r>
        <w:t xml:space="preserve">This report provides the in-depth risk assessment referenced in Chapter 5, Section 5.4.4 of the PsyClick thesis and required as a standalone deliverable under CS0029 Section IX (“Risk Assessment Report”). It expands the summary risk matrix embedded in the thesis into a full risk register with explicit scoring methodology, asset inventory, threat-actor profiles, inherent vs. residual risk, and a treatment roadmap.</w:t>
      </w:r>
    </w:p>
    <w:p>
      <w:pPr>
        <w:spacing w:after="160"/>
      </w:pPr>
      <w:r>
        <w:t xml:space="preserve">Scope is limited to the psyclick-secure application (a separate, hardened build of the PsyClick clinical decision support prototype) and its immediate deployment environment: a single clinician workstation running the Electron/React frontend against a local Flask API bound to 127.0.0.1, backed by a local SQLite database with optional Supabase cloud sync. Institution-wide network infrastructure, physical security of the facility, and third-party cloud provider risk (Supabase) are noted where relevant but are outside the direct code-level control boundary of this project.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pStyle w:val="Heading2"/>
        <w:spacing w:after="120" w:before="240"/>
      </w:pPr>
      <w:r>
        <w:t xml:space="preserve">2.1 Risk Scoring Model</w:t>
      </w:r>
    </w:p>
    <w:p>
      <w:pPr>
        <w:spacing w:after="160"/>
      </w:pPr>
      <w:r>
        <w:t xml:space="preserve">Each risk is scored on two 1–5 scales and combined multiplicatively (Likelihood × Impact = Risk Score, range 1–25), consistent with common qualitative risk-matrix practice used in ISO/IEC 27005-aligned assessments.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400"/>
      </w:tblGrid>
      <w:tr>
        <w:trPr>
          <w:tblHeader/>
        </w:trPr>
        <w:tc>
          <w:tcPr>
            <w:tcW w:type="dxa" w:w="1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4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(Confidentiality / Integrity / Availability of clinical data)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 — would require an unlikely combination of failures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Negligible — no clinical data or trust impact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Unlikely — possible but not expected under normal operation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Minor — limited, recoverable impact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Possible — could occur, especially without the stated control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 — a single client/session record affected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Likely — expected to occur periodically without mitigation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 — multiple records or a full account compromised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Almost certain — trivial to trigger without the stated control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Severe — breach of restricted clinical/behavioral data, RA 10173 exposure, or loss of system trust</w:t>
            </w:r>
          </w:p>
        </w:tc>
      </w:tr>
    </w:tbl>
    <w:p>
      <w:pPr>
        <w:spacing w:after="160" w:before="1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00"/>
      </w:tblGrid>
      <w:tr>
        <w:trPr>
          <w:tblHeader/>
        </w:trPr>
        <w:tc>
          <w:tcPr>
            <w:tcW w:type="dxa" w:w="48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Score</w:t>
            </w:r>
          </w:p>
        </w:tc>
        <w:tc>
          <w:tcPr>
            <w:tcW w:type="dxa" w:w="50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5–11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12–19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20–25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2"/>
        <w:spacing w:after="120" w:before="240"/>
      </w:pPr>
      <w:r>
        <w:t xml:space="preserve">2.2 Inherent vs. Residual Risk</w:t>
      </w:r>
    </w:p>
    <w:p>
      <w:pPr>
        <w:spacing w:after="160"/>
      </w:pPr>
      <w:r>
        <w:t xml:space="preserve">“Inherent risk” is scored as if the described control did not exist. “Residual risk” is scored after accounting for the control(s) actually present in the reviewed psyclick-secure source code as of 11 July 2026, verified either by direct code reading or by the automated test/scan evidence in the companion Security Testing Report. Where a control is only partially implemented, the residual score reflects that partial state rather than the ideal end state.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Asset Inventory and Classification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200"/>
      </w:tblGrid>
      <w:tr>
        <w:trPr>
          <w:tblHeader/>
        </w:trPr>
        <w:tc>
          <w:tcPr>
            <w:tcW w:type="dxa" w:w="3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2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Clinician credentials (password hash, session tokens)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Compromise enables impersonation and full account takeover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Patient/client pseudonymous identifiers and session metadata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 (RA 10173 personal/behavioral data)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Re-identification risk; behavioral biometric data requires elevated protection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 keystroke/cursor telemetry and derived features (T², PSI, PAI)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Classified as behavioral biometric data; sensitive even when de-identified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PHQ-9 / GAD-7 screening scores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 (clinical/health data)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mental-health indicator; highest sensitivity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Clinical session reports (HTML/export)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Aggregates multiple restricted data types into one exportable artifact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log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Confidential / Integrity-critical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Sole accountability record; must be tamper-evident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Encrypted backups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data-at-rest copy; single point of compromise if key/DPAPI protection fails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source code and configuration (config.json, requirements.txt)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Misconfiguration or exposed secrets could open every asset above</w:t>
            </w:r>
          </w:p>
        </w:tc>
      </w:tr>
    </w:tbl>
    <w:p>
      <w:pPr>
        <w:pStyle w:val="Heading1"/>
        <w:spacing w:after="150" w:before="300"/>
      </w:pPr>
      <w:r>
        <w:t xml:space="preserve">4. Threat Actor Profiles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400"/>
        <w:gridCol w:w="2200"/>
      </w:tblGrid>
      <w:tr>
        <w:trPr>
          <w:tblHeader/>
        </w:trPr>
        <w:tc>
          <w:tcPr>
            <w:tcW w:type="dxa" w:w="28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Motivation</w:t>
            </w:r>
          </w:p>
        </w:tc>
        <w:tc>
          <w:tcPr>
            <w:tcW w:type="dxa" w:w="24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vector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Opportunistic outsider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Curiosity, low-effort data theft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Low–Medium (script kiddie tooling, guessing)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Exposed endpoint, weak credentials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Malicious insider (clinician/admin)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Curiosity about a specific client, personal dispute, data resale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 (legitimate credentials, domain knowledge)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Excessive record browsing, unauthorized export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Compromised endpoint / malware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Financial (ransomware), espionage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Medium–High (automated, persistent)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Workstation compromise, credential theft, file exfiltration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Careless authorized user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(unintentional)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Weak password reuse, unencrypted export sharing, unattended unlocked workstation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Supply-chain / dependency compromise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Broad, opportunistic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Vulnerable or malicious npm/PyPI package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Risk Register</w:t>
      </w:r>
    </w:p>
    <w:p>
      <w:pPr>
        <w:spacing w:after="160"/>
      </w:pPr>
      <w:r>
        <w:t xml:space="preserve">Full risk register, ordered by inherent risk score (descending). Scores follow the 1–25 model in Section 2.1.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600"/>
        <w:gridCol w:w="900"/>
        <w:gridCol w:w="900"/>
        <w:gridCol w:w="3800"/>
        <w:gridCol w:w="900"/>
        <w:gridCol w:w="900"/>
      </w:tblGrid>
      <w:tr>
        <w:trPr>
          <w:tblHeader/>
        </w:trPr>
        <w:tc>
          <w:tcPr>
            <w:tcW w:type="dxa" w:w="7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9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Inherent</w:t>
            </w:r>
          </w:p>
        </w:tc>
        <w:tc>
          <w:tcPr>
            <w:tcW w:type="dxa" w:w="9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38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Mitigation(s) — verified in source/tests</w:t>
            </w:r>
          </w:p>
        </w:tc>
        <w:tc>
          <w:tcPr>
            <w:tcW w:type="dxa" w:w="9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Residual</w:t>
            </w:r>
          </w:p>
        </w:tc>
        <w:tc>
          <w:tcPr>
            <w:tcW w:type="dxa" w:w="9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 compromise / account takeover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Weak, reused, or phished clinician password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scrypt password hashing (memory-hard KDF), 12-char minimum policy, 5-attempt/15-min account lockout, hashed bearer session tokens with idle+absolute expiry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Broken access control / IDOR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Clinician requests another clinician's records by guessing an ID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`require_roles()` middleware + `_scoped_clinician_id()` ownership scoping restricts non-admin queries to the authenticated clinician's own records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Malware / ransomware on host workstation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 compromise encrypts or exfiltrates the local database/backups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Encrypted backups with offline/off-machine storage recommendation, least-privilege OS accounts recommended in Security Policy; full mitigation depends on institutional endpoint controls outside this application's boundary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Brute-force / credential-stuffing login attempts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 guessing against one or many accounts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threshold-based intrusion monitor (8 failures/5 min, source- and account-scoped) throttles the source and writes a hash-chained security audit alert; verified by 4 regression tests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Plaintext data at rest (exports/backups)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Exported report or DB backup copied off the workstation unencrypted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 DPAPI protects export files and SQLite backups; SHA-256 digest recorded; restore validated via isolated-directory integrity_check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Plaintext data at rest (live SQLite DB)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Workstation theft or malware reads the live application database file directly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Partially mitigated: OS-level file permissions, pseudonymous student/patient identifiers (data minimization), local-first (no network exposure) design. NOT mitigated: no column-level encryption of the live DB file. Recommended future enhancement (see Section 8).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Insider misuse (excessive/unauthorized browsing)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clinician or admin views records outside their duty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RBAC (admin/clinician/auditor), ownership scoping, and a reviewable hash-chained audit trail create accountability; does not technically prevent an authorized admin from over-broad access — a policy/process control, not a code control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R-16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multi-factor authentication for privileged accounts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Single-factor admin credential is phished or reused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 implemented; spec lists MFA as optional-but-encouraged. Recorded as a release recommendation prior to institutional deployment (Section 8)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injection via crafted identifiers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External/insider attacker submits malicious text through the API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Parameterized `?` bind params used for all caller-supplied values across api_server.py / database_manager.py; bandit SAST found 0 High findings; 13 Medium f-string-construction findings manually confirmed non-exploitable (query *shape*, not values, is dynamic)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R-07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Consent bypass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 starts without recorded informed consent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Consent is enforced server-side (fail-closed) before every capture route responds; `has_active_consent()` checked on each phase transition, not only client-side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log tampering / repudiation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 edits or deletes an audit entry to hide an action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Hash-chained audit log (`prev_hash`/`entry_hash`); `verify_audit_chain()` detects any modified row; regression test confirms tamper detection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R-09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 hijacking / token replay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Stolen bearer token reused after logout or expiry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a hash of the token is persisted; logout explicitly revokes server-side; idle (15 min) and absolute (8 hr) expiry enforced; regression test confirms revoked tokens fail authentication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Cross-Site Scripting (XSS) in report/UI rendering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Untrusted text rendered into the clinician-facing report or dashboard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React's default output escaping; fixed report templates rather than raw HTML injection from user text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Backup/restore failure or data loss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backup is corrupt or a restore is never rehearsed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Encrypted backup includes SHA-256 verification and an automated SQLite `integrity_check` restore test in an isolated directory; institutional quarterly restore drills are a proposed operational control (Section 7)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Repeated requests or oversized payloads exhaust local resources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Loopback-only binding (127.0.0.1), restricted CORS origins, bounded identifier/field lengths on audit endpoints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Vulnerable third-party dependencies (frontend)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Known CVEs in npm packages are exploited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`npm audit` executed 11 Jul 2026: 16 advisories reduced to 8 via non-breaking `npm audit fix`; 0 remain in shipped runtime dependencies; remaining 8 are confined to build-time devDependencies (Electron/Vite/electron-builder toolchain) not present in the distributed app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Risk Heat Map (Residual)</w:t>
      </w:r>
    </w:p>
    <w:p>
      <w:pPr>
        <w:spacing w:after="160"/>
      </w:pPr>
      <w:r>
        <w:t xml:space="preserve">Distribution of residual risk after currently-implemented controls: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200"/>
      </w:tblGrid>
      <w:tr>
        <w:trPr>
          <w:tblHeader/>
        </w:trPr>
        <w:tc>
          <w:tcPr>
            <w:tcW w:type="dxa" w:w="2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24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 of risks</w:t>
            </w:r>
          </w:p>
        </w:tc>
        <w:tc>
          <w:tcPr>
            <w:tcW w:type="dxa" w:w="5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IDs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R-06, R-11, R-16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R-01, R-02, R-04, R-05, R-07, R-08, R-10, R-12, R-15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R-03, R-09, R-13, R-14</w:t>
            </w:r>
          </w:p>
        </w:tc>
      </w:tr>
    </w:tbl>
    <w:p>
      <w:pPr>
        <w:spacing w:after="160"/>
      </w:pPr>
      <w:r>
        <w:rPr>
          <w:i/>
          <w:iCs/>
        </w:rPr>
        <w:t xml:space="preserve">No risk in this register scores Critical residual after currently-implemented controls. R-06 (plaintext live database) and R-16 (no MFA) remain the highest residual items and are carried forward as release recommendations in Section 8.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Risk Treatment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200"/>
        <w:gridCol w:w="1600"/>
        <w:gridCol w:w="1400"/>
      </w:tblGrid>
      <w:tr>
        <w:trPr>
          <w:tblHeader/>
        </w:trPr>
        <w:tc>
          <w:tcPr>
            <w:tcW w:type="dxa" w:w="9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19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Treatment Strategy</w:t>
            </w:r>
          </w:p>
        </w:tc>
        <w:tc>
          <w:tcPr>
            <w:tcW w:type="dxa" w:w="4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Planned Action</w:t>
            </w:r>
          </w:p>
        </w:tc>
        <w:tc>
          <w:tcPr>
            <w:tcW w:type="dxa" w:w="1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Evaluate column-level or full-database encryption at rest (e.g., SQLCipher) for the live SQLite file, with a deterministic blind-index scheme for fields used in equality lookups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Pre-institutional deployment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R-16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TOTP-based MFA for administrator accounts; extend to all roles as a stretch goal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Pre-institutional deployment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 (shared control)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minimum endpoint-security baseline (patching, EDR, disk encryption) as an institutional prerequisite in the Security Policy; outside the application's own control boundary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/ IT admin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 to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Mitigate (partial — done)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`npm audit fix` applied 11 Jul 2026, resolving 8 of 16 advisories; schedule a major-version upgrade of Electron/Vite/electron-builder to clear the remaining build-time advisories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maintenance cycle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Mitigate (process control)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and enforce a documented access-review cadence (e.g., quarterly export/access log review by an auditor role)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Clinical/administrative owner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Ongoing, starting at deployment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R-15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Transfer/Mitigate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Adopt the proposed quarterly restore-drill cadence in Section 7 of the thesis Appendix as a standing institutional procedure, evidenced with signed drill records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/ IT admin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Quarterly, ongoing</w:t>
            </w:r>
          </w:p>
        </w:tc>
      </w:tr>
    </w:tbl>
    <w:p>
      <w:pPr>
        <w:pStyle w:val="Heading1"/>
        <w:spacing w:after="150" w:before="300"/>
      </w:pPr>
      <w:r>
        <w:t xml:space="preserve">8. Residual Risk Statement</w:t>
      </w:r>
    </w:p>
    <w:p>
      <w:pPr>
        <w:spacing w:after="160"/>
      </w:pPr>
      <w:r>
        <w:t xml:space="preserve">After the controls verified in this assessment, PsyClick Secure's residual risk profile is dominated by Medium-band items, with no Critical-band residual risk identified. Two High-adjacent items — absence of at-rest encryption for the live database (R-06) and absence of multi-factor authentication for privileged accounts (R-16) — are explicitly carried forward as pre-deployment recommendations rather than treated as resolved. This assessment reflects a source-code and static-analysis review; it does not substitute for an independent, authorized dynamic penetration test or a live institutional security audit, both of which remain external deliverables per the companion Security Testing Report.</w:t>
      </w:r>
    </w:p>
    <w:p>
      <w:pPr>
        <w:pStyle w:val="Heading1"/>
      </w:pPr>
      <w:r>
        <w:t>9. Bibliography</w:t>
      </w:r>
    </w:p>
    <w:p>
      <w:pPr>
        <w:spacing w:after="120" w:line="240" w:lineRule="auto"/>
        <w:ind w:left="720" w:hanging="720"/>
      </w:pPr>
      <w:r>
        <w:rPr>
          <w:sz w:val="21"/>
        </w:rPr>
        <w:t>Grassi, P. A., Garcia, M. E., &amp; Fenton, J. L. (2017). Digital identity guidelines: Authentication and lifecycle management (NIST Special Publication 800-63B). National Institute of Standards and Technology. https://doi.org/10.6028/NIST.SP.800-63b</w:t>
      </w:r>
    </w:p>
    <w:p>
      <w:pPr>
        <w:spacing w:after="120" w:line="240" w:lineRule="auto"/>
        <w:ind w:left="720" w:hanging="720"/>
      </w:pPr>
      <w:r>
        <w:rPr>
          <w:sz w:val="21"/>
        </w:rPr>
        <w:t>International Organization for Standardization. (2022). ISO/IEC 27001:2022 — Information security, cybersecurity and privacy protection — Information security management systems — Requirements. ISO.</w:t>
      </w:r>
    </w:p>
    <w:p>
      <w:pPr>
        <w:spacing w:after="120" w:line="240" w:lineRule="auto"/>
        <w:ind w:left="720" w:hanging="720"/>
      </w:pPr>
      <w:r>
        <w:rPr>
          <w:sz w:val="21"/>
        </w:rPr>
        <w:t>International Organization for Standardization. (2022). ISO/IEC 27005:2022 — Information security, cybersecurity and privacy protection — Guidance on managing information security risks. ISO.</w:t>
      </w:r>
    </w:p>
    <w:p>
      <w:pPr>
        <w:spacing w:after="120" w:line="240" w:lineRule="auto"/>
        <w:ind w:left="720" w:hanging="720"/>
      </w:pPr>
      <w:r>
        <w:rPr>
          <w:sz w:val="21"/>
        </w:rPr>
        <w:t>MITRE. (2023). CWE-639: Authorization bypass through user-controlled key. Common Weakness Enumeration. https://cwe.mitre.org/data/definitions/639.html</w:t>
      </w:r>
    </w:p>
    <w:p>
      <w:pPr>
        <w:spacing w:after="120" w:line="240" w:lineRule="auto"/>
        <w:ind w:left="720" w:hanging="720"/>
      </w:pPr>
      <w:r>
        <w:rPr>
          <w:sz w:val="21"/>
        </w:rPr>
        <w:t>National Institute of Standards and Technology. (2012). Guide for conducting risk assessments (NIST Special Publication 800-30 Rev. 1). https://doi.org/10.6028/NIST.SP.800-30r1</w:t>
      </w:r>
    </w:p>
    <w:p>
      <w:pPr>
        <w:spacing w:after="120" w:line="240" w:lineRule="auto"/>
        <w:ind w:left="720" w:hanging="720"/>
      </w:pPr>
      <w:r>
        <w:rPr>
          <w:sz w:val="21"/>
        </w:rPr>
        <w:t>OWASP Foundation. (2021). OWASP Top 10:2021. https://owasp.org/Top10/</w:t>
      </w:r>
    </w:p>
    <w:p>
      <w:pPr>
        <w:spacing w:after="120" w:line="240" w:lineRule="auto"/>
        <w:ind w:left="720" w:hanging="720"/>
      </w:pPr>
      <w:r>
        <w:rPr>
          <w:sz w:val="21"/>
        </w:rPr>
        <w:t>Percival, C. (2009). Stronger key derivation via sequential memory-hard functions. Proceedings of BSDCan 2009.</w:t>
      </w:r>
    </w:p>
    <w:p>
      <w:pPr>
        <w:spacing w:after="120" w:line="240" w:lineRule="auto"/>
        <w:ind w:left="720" w:hanging="720"/>
      </w:pPr>
      <w:r>
        <w:rPr>
          <w:sz w:val="21"/>
        </w:rPr>
        <w:t>Republic of the Philippines. (2012). Republic Act No. 10173 — Data Privacy Act of 2012. Official Gazette. https://www.officialgazette.gov.ph/2012/08/15/republic-act-no-10173/</w:t>
      </w:r>
    </w:p>
    <w:p>
      <w:pPr>
        <w:spacing w:after="120" w:line="240" w:lineRule="auto"/>
        <w:ind w:left="720" w:hanging="720"/>
      </w:pPr>
      <w:r>
        <w:rPr>
          <w:sz w:val="21"/>
        </w:rPr>
        <w:t>Zetetic LLC. (2023). SQLCipher: Full-database encryption for SQLite. https://www.zetetic.net/sqlcipher/</w:t>
      </w:r>
    </w:p>
    <w:p>
      <w:pPr>
        <w:pStyle w:val="Heading1"/>
        <w:spacing w:after="150" w:before="300"/>
      </w:pPr>
      <w:r>
        <w:t>10. Approval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00"/>
      </w:tblGrid>
      <w:tr>
        <w:trPr>
          <w:tblHeader/>
        </w:trPr>
        <w:tc>
          <w:tcPr>
            <w:tcW w:type="dxa" w:w="2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600"/>
            <w:shd w:fill="1A3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PsyClick thesis team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Reviewed by (Clinical Lead)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Reviewed by (Adviser)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Mr. Justine Jude C. Pura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PsyClick Secure – Risk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2026-07-11T13:35:36.889Z</dcterms:created>
  <dcterms:modified xsi:type="dcterms:W3CDTF">2026-07-11T13:35:36.890Z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