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ugp3z0w1vi8g" w:id="0"/>
      <w:bookmarkEnd w:id="0"/>
      <w:r w:rsidDel="00000000" w:rsidR="00000000" w:rsidRPr="00000000">
        <w:rPr>
          <w:rtl w:val="0"/>
        </w:rPr>
        <w:t xml:space="preserve">TP : Modélisation/création de bases de données et requêtes 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Pré-requis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Installation de MySQL et du client </w:t>
      </w:r>
      <w:hyperlink r:id="rId5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MySQL Workbench</w:t>
        </w:r>
      </w:hyperlink>
      <w:r w:rsidDel="00000000" w:rsidR="00000000" w:rsidRPr="00000000">
        <w:rPr>
          <w:b w:val="1"/>
          <w:i w:val="1"/>
          <w:rtl w:val="0"/>
        </w:rPr>
        <w:t xml:space="preserve"> permettant de créer, modéliser et questionner une base de données.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Le site MWB propose aussi l’installation de MySQL (comprenant notamment le serveur).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On voit dans l’image les deux liens pour 1/télécharger MySQL &amp; outils annexes et 2/télécharger MySQL Workbench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19824" cy="255746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824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NB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* Si vous avez déjà installé Workbench, voici un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tuto pour installer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* Si </w:t>
      </w:r>
      <w:r w:rsidDel="00000000" w:rsidR="00000000" w:rsidRPr="00000000">
        <w:rPr>
          <w:i w:val="1"/>
          <w:sz w:val="21"/>
          <w:szCs w:val="21"/>
          <w:rtl w:val="0"/>
        </w:rPr>
        <w:t xml:space="preserve">demandé, voici le lien vers </w:t>
      </w:r>
      <w:hyperlink r:id="rId8">
        <w:r w:rsidDel="00000000" w:rsidR="00000000" w:rsidRPr="00000000">
          <w:rPr>
            <w:i w:val="1"/>
            <w:color w:val="1155cc"/>
            <w:sz w:val="21"/>
            <w:szCs w:val="21"/>
            <w:u w:val="single"/>
            <w:rtl w:val="0"/>
          </w:rPr>
          <w:t xml:space="preserve">visual c++</w:t>
        </w:r>
      </w:hyperlink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iarzb0pimrdd" w:id="1"/>
      <w:bookmarkEnd w:id="1"/>
      <w:r w:rsidDel="00000000" w:rsidR="00000000" w:rsidRPr="00000000">
        <w:rPr>
          <w:rtl w:val="0"/>
        </w:rPr>
        <w:t xml:space="preserve">Questions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Modéliser  une BDD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a. Suivre le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Tutoriel - Modéliser une BDD avec MySQL Workbench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b. Générer le code SQL à partir du diagramme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Cliquer sur File&gt;Export&gt;Forward…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Générer une BDD à partir du script SQL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a. Télécharger la base base </w:t>
      </w:r>
      <w:r w:rsidDel="00000000" w:rsidR="00000000" w:rsidRPr="00000000">
        <w:rPr>
          <w:b w:val="1"/>
          <w:rtl w:val="0"/>
        </w:rPr>
        <w:t xml:space="preserve">contacts-mysql.sql</w:t>
      </w:r>
      <w:r w:rsidDel="00000000" w:rsidR="00000000" w:rsidRPr="00000000">
        <w:rPr>
          <w:rtl w:val="0"/>
        </w:rPr>
        <w:t xml:space="preserve"> sur le drive.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MySQL Workbench : File&gt; Import &gt; Reverse..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puis cliquer sur Database &gt;Connect &gt; 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copier le script SQL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l’onglet “Local Instance” qui s’ouvre double-cliquer sur le nom de votre base dans “Schémas” 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2028825" cy="17811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coller ensuite le script SQLgénéré dans une “fenêtre de requêtes”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cliquer sur “Run”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b. Faire le bilan des attributs de chacune des tables, c’est-à- dire pour chaque table, donner le nom des colonnes ainsi que leur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Se documenter sur la structure d’une requête SQL : cf ressources fournies en bas du doc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Faire leçons 1 à 4 sur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SQLBOLT</w:t>
        </w:r>
      </w:hyperlink>
      <w:r w:rsidDel="00000000" w:rsidR="00000000" w:rsidRPr="00000000">
        <w:rPr>
          <w:rtl w:val="0"/>
        </w:rPr>
        <w:t xml:space="preserve"> pour s'entraîner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3bis. Refaire le 2.b avec un </w:t>
      </w: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Construire les requêtes permettant de lister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l’ensemble des données de CONTACTS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l’ensemble des prénoms et âges des enfants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l’ensemble des hobbies (sans doublons)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l’ensemble des emails des contacts de type amis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l’ensemble des prénoms des enfants ayant entre 3 et 5ans (inclus)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l’ensemble des hobbies (sans doublons) commençant par 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l’ensemble des hobbies (sans doublons) triés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l’ensemble des noms (en majuscules), prénoms, type de contacts triés par type de contact (croissants) ET nom de famille (décroissants)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Suivre le cours openclassrooms SQL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-sur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les jointures</w:t>
        </w:r>
      </w:hyperlink>
      <w:r w:rsidDel="00000000" w:rsidR="00000000" w:rsidRPr="00000000">
        <w:rPr>
          <w:rtl w:val="0"/>
        </w:rPr>
        <w:t xml:space="preserve"> -&gt; lien vers exos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SQLBOLT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-sur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les unions de plusieurs requêtes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-sur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les fonctions d’agrégation</w:t>
        </w:r>
      </w:hyperlink>
      <w:r w:rsidDel="00000000" w:rsidR="00000000" w:rsidRPr="00000000">
        <w:rPr>
          <w:rtl w:val="0"/>
        </w:rPr>
        <w:t xml:space="preserve"> -&gt; lien vers exos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SQLBOLT</w:t>
        </w:r>
      </w:hyperlink>
      <w:r w:rsidDel="00000000" w:rsidR="00000000" w:rsidRPr="00000000">
        <w:rPr>
          <w:rtl w:val="0"/>
        </w:rPr>
        <w:t xml:space="preserve"> ou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BOLT</w:t>
        </w:r>
      </w:hyperlink>
      <w:r w:rsidDel="00000000" w:rsidR="00000000" w:rsidRPr="00000000">
        <w:rPr>
          <w:rtl w:val="0"/>
        </w:rPr>
        <w:t xml:space="preserve"> ou même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BOLDON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-sur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le regroupement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La liste des enfants (prénom) accompagnés des hobbie(s) de leurs parents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La liste des contacts (nom, prénom) et leurs enfants (prénom, âge) pour les contacts ayant 46ans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La liste des hobbies (sans doublons) des collègues ('friend')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La liste des enfants (prénoms) accompagnés des hobbie(s) de leur parent, y compris en l'absence de hobbie. (jointure ouverte)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qr9o9te9tbq" w:id="2"/>
      <w:bookmarkEnd w:id="2"/>
      <w:r w:rsidDel="00000000" w:rsidR="00000000" w:rsidRPr="00000000">
        <w:rPr>
          <w:rtl w:val="0"/>
        </w:rPr>
        <w:t xml:space="preserve">Ressources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Tutoriel - Modéliser une BDD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Cours et tutoriels sur le SQL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Wikipédia FR sur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Mots clés réservés du SQL</w:t>
        </w:r>
      </w:hyperlink>
      <w:r w:rsidDel="00000000" w:rsidR="00000000" w:rsidRPr="00000000">
        <w:rPr>
          <w:rtl w:val="0"/>
        </w:rPr>
        <w:t xml:space="preserve"> (SQLPro)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SQLPro sur Developpez.com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OpenClassroom - Administrez vos BDD avec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jaQGNDqXHxc" TargetMode="External"/><Relationship Id="rId22" Type="http://schemas.openxmlformats.org/officeDocument/2006/relationships/hyperlink" Target="https://fr.wikipedia.org/wiki/Structured_Query_Language" TargetMode="External"/><Relationship Id="rId21" Type="http://schemas.openxmlformats.org/officeDocument/2006/relationships/hyperlink" Target="https://sql.sh/" TargetMode="External"/><Relationship Id="rId24" Type="http://schemas.openxmlformats.org/officeDocument/2006/relationships/hyperlink" Target="http://sqlpro.developpez.com/" TargetMode="External"/><Relationship Id="rId23" Type="http://schemas.openxmlformats.org/officeDocument/2006/relationships/hyperlink" Target="http://sqlpro.developpez.com/cours/motsreserve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jaQGNDqXHxc" TargetMode="External"/><Relationship Id="rId25" Type="http://schemas.openxmlformats.org/officeDocument/2006/relationships/hyperlink" Target="https://openclassrooms.com/courses/administrez-vos-bases-de-donnees-avec-mysql/introduction-14" TargetMode="External"/><Relationship Id="rId5" Type="http://schemas.openxmlformats.org/officeDocument/2006/relationships/hyperlink" Target="https://dev.mysql.com/downloads/workbench/" TargetMode="External"/><Relationship Id="rId6" Type="http://schemas.openxmlformats.org/officeDocument/2006/relationships/image" Target="media/image02.png"/><Relationship Id="rId7" Type="http://schemas.openxmlformats.org/officeDocument/2006/relationships/hyperlink" Target="https://www.youtube.com/watch?v=fwQyZz6cNGU" TargetMode="External"/><Relationship Id="rId8" Type="http://schemas.openxmlformats.org/officeDocument/2006/relationships/hyperlink" Target="http://www.microsoft.com/en-us/download/details.aspx?id=30679" TargetMode="External"/><Relationship Id="rId11" Type="http://schemas.openxmlformats.org/officeDocument/2006/relationships/hyperlink" Target="https://sqlbolt.com/" TargetMode="External"/><Relationship Id="rId10" Type="http://schemas.openxmlformats.org/officeDocument/2006/relationships/image" Target="media/image03.png"/><Relationship Id="rId13" Type="http://schemas.openxmlformats.org/officeDocument/2006/relationships/hyperlink" Target="https://sqlbolt.com/" TargetMode="External"/><Relationship Id="rId12" Type="http://schemas.openxmlformats.org/officeDocument/2006/relationships/hyperlink" Target="https://openclassrooms.com/courses/administrez-vos-bases-de-donnees-avec-mysql/jointures-1" TargetMode="External"/><Relationship Id="rId15" Type="http://schemas.openxmlformats.org/officeDocument/2006/relationships/hyperlink" Target="https://openclassrooms.com/courses/administrez-vos-bases-de-donnees-avec-mysql/fonctions-d-agregation" TargetMode="External"/><Relationship Id="rId14" Type="http://schemas.openxmlformats.org/officeDocument/2006/relationships/hyperlink" Target="https://openclassrooms.com/courses/administrez-vos-bases-de-donnees-avec-mysql/union-de-plusieurs-requetes" TargetMode="External"/><Relationship Id="rId17" Type="http://schemas.openxmlformats.org/officeDocument/2006/relationships/hyperlink" Target="https://en.wikipedia.org/wiki/Usain_Bolt" TargetMode="External"/><Relationship Id="rId16" Type="http://schemas.openxmlformats.org/officeDocument/2006/relationships/hyperlink" Target="https://sqlbolt.com/lesson/select_queries_with_aggregates" TargetMode="External"/><Relationship Id="rId19" Type="http://schemas.openxmlformats.org/officeDocument/2006/relationships/hyperlink" Target="https://openclassrooms.com/courses/administrez-vos-bases-de-donnees-avec-mysql/regroupement" TargetMode="External"/><Relationship Id="rId18" Type="http://schemas.openxmlformats.org/officeDocument/2006/relationships/hyperlink" Target="http://www.atoboldon.com/Home" TargetMode="External"/></Relationships>
</file>