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26"/>
        </w:rPr>
        <w:t>MUTUAL NON-DISCLOSURE AGREEMENT</w:t>
      </w:r>
    </w:p>
    <w:p>
      <w:pPr>
        <w:spacing w:after="120"/>
        <w:jc w:val="both"/>
      </w:pPr>
      <w:r>
        <w:rPr>
          <w:sz w:val="21"/>
        </w:rPr>
        <w:t xml:space="preserve">This Mutual Non-Disclosure Agreement (this "Agreement") is made as of September 28, 2026 (the "Effective Date") by and between </w:t>
      </w:r>
      <w:r>
        <w:rPr>
          <w:b/>
          <w:color w:val="000000"/>
          <w:sz w:val="21"/>
          <w:highlight w:val="yellow"/>
        </w:rPr>
        <w:t>CONFIRM: Badlands legal entity name</w:t>
      </w:r>
      <w:r>
        <w:rPr>
          <w:sz w:val="21"/>
        </w:rPr>
        <w:t xml:space="preserve">, </w:t>
      </w:r>
      <w:r>
        <w:rPr>
          <w:b/>
          <w:color w:val="000000"/>
          <w:sz w:val="21"/>
          <w:highlight w:val="yellow"/>
        </w:rPr>
        <w:t>CONFIRM: a Delaware limited liability company</w:t>
      </w:r>
      <w:r>
        <w:rPr>
          <w:sz w:val="21"/>
        </w:rPr>
        <w:t xml:space="preserve"> ("Badlands"), and Ameritech Systems Corp., a New York corporation (the "Company"). Badlands and the Company are each a "Party" and together the "Parties."</w:t>
      </w:r>
    </w:p>
    <w:p>
      <w:pPr>
        <w:spacing w:after="120"/>
        <w:jc w:val="both"/>
      </w:pPr>
      <w:r>
        <w:rPr>
          <w:sz w:val="21"/>
        </w:rPr>
        <w:t>The Parties wish to explore a possible negotiated transaction involving the acquisition of all or a portion of the Company or its business (a "Possible Transaction"). In connection with evaluating a Possible Transaction, each Party may disclose confidential and proprietary information to the other. This Agreement governs that information.</w:t>
      </w:r>
    </w:p>
    <w:p>
      <w:pPr>
        <w:spacing w:before="200" w:after="80"/>
      </w:pPr>
      <w:r>
        <w:rPr>
          <w:b/>
          <w:sz w:val="22"/>
        </w:rPr>
        <w:t>1. Confidential Information</w:t>
      </w:r>
    </w:p>
    <w:p>
      <w:pPr>
        <w:spacing w:after="120"/>
        <w:jc w:val="both"/>
      </w:pPr>
      <w:r>
        <w:rPr>
          <w:b/>
          <w:sz w:val="21"/>
        </w:rPr>
        <w:t>1.1</w:t>
      </w:r>
      <w:r>
        <w:rPr>
          <w:sz w:val="21"/>
        </w:rPr>
        <w:t xml:space="preserve"> "Confidential Information" means all non-public information concerning a Party or its business that is furnished, before or after the Effective Date, by or on behalf of that Party (the "Disclosing Party") to the other Party (the "Receiving Party") or its Representatives, in any form, whether or not marked confidential. It includes financial statements, tax returns, budgets and projections; customer, supplier and vendor lists and contracts; pricing, margins and job costing; recurring revenue, monitoring and inspection contracts; work-in-progress, backlog and bid schedules; employee rosters, compensation and benefits; licenses, permits and certifications; insurance, litigation and claims history; software, methods, know-how and trade secrets; and business, operating and strategic plans.</w:t>
      </w:r>
    </w:p>
    <w:p>
      <w:pPr>
        <w:spacing w:after="120"/>
        <w:jc w:val="both"/>
      </w:pPr>
      <w:r>
        <w:rPr>
          <w:b/>
          <w:sz w:val="21"/>
        </w:rPr>
        <w:t>1.2</w:t>
      </w:r>
      <w:r>
        <w:rPr>
          <w:sz w:val="21"/>
        </w:rPr>
        <w:t xml:space="preserve"> Confidential Information also includes all notes, analyses, models, summaries, memoranda and other materials prepared by the Receiving Party or its Representatives that contain, reflect or are derived from Confidential Information ("Derived Materials").</w:t>
      </w:r>
    </w:p>
    <w:p>
      <w:pPr>
        <w:spacing w:after="120"/>
        <w:jc w:val="both"/>
      </w:pPr>
      <w:r>
        <w:rPr>
          <w:b/>
          <w:sz w:val="21"/>
        </w:rPr>
        <w:t>1.3</w:t>
      </w:r>
      <w:r>
        <w:rPr>
          <w:sz w:val="21"/>
        </w:rPr>
        <w:t xml:space="preserve"> Each Party will treat as Confidential Information of the other the fact that the Parties are in discussions regarding a Possible Transaction, the status and content of those discussions, any terms or proposals exchanged, and the fact that Confidential Information has been made available.</w:t>
      </w:r>
    </w:p>
    <w:p>
      <w:pPr>
        <w:spacing w:before="200" w:after="80"/>
      </w:pPr>
      <w:r>
        <w:rPr>
          <w:b/>
          <w:sz w:val="22"/>
        </w:rPr>
        <w:t>2. Exclusions</w:t>
      </w:r>
    </w:p>
    <w:p>
      <w:pPr>
        <w:spacing w:after="120"/>
        <w:jc w:val="both"/>
      </w:pPr>
      <w:r>
        <w:rPr>
          <w:sz w:val="21"/>
        </w:rPr>
        <w:t>Confidential Information does not include information that the Receiving Party can demonstrate: (a) is or becomes generally available to the public other than as a result of a breach of this Agreement by the Receiving Party or its Representatives; (b) was in the Receiving Party's possession before disclosure by the Disclosing Party and was not subject to a duty of confidentiality; (c) becomes available to the Receiving Party from a third party who is not, to the Receiving Party's knowledge, under a duty of confidentiality to the Disclosing Party; or (d) is independently developed by the Receiving Party without use of or reference to the Confidential Information.</w:t>
      </w:r>
    </w:p>
    <w:p>
      <w:pPr>
        <w:spacing w:before="200" w:after="80"/>
      </w:pPr>
      <w:r>
        <w:rPr>
          <w:b/>
          <w:sz w:val="22"/>
        </w:rPr>
        <w:t>3. Use and Protection</w:t>
      </w:r>
    </w:p>
    <w:p>
      <w:pPr>
        <w:spacing w:after="120"/>
        <w:jc w:val="both"/>
      </w:pPr>
      <w:r>
        <w:rPr>
          <w:sz w:val="21"/>
        </w:rPr>
        <w:t>The Receiving Party will use Confidential Information solely to evaluate, negotiate and, if applicable, consummate a Possible Transaction (the "Permitted Purpose"), and for no other purpose, including no competitive purpose. The Receiving Party will protect Confidential Information with at least the degree of care it uses for its own confidential information of like importance, and in no event less than reasonable care. The Receiving Party will not disclose Confidential Information to any person except as permitted by Section 4 or Section 5.</w:t>
      </w:r>
    </w:p>
    <w:p>
      <w:pPr>
        <w:spacing w:before="200" w:after="80"/>
      </w:pPr>
      <w:r>
        <w:rPr>
          <w:b/>
          <w:sz w:val="22"/>
        </w:rPr>
        <w:t>4. Representatives</w:t>
      </w:r>
    </w:p>
    <w:p>
      <w:pPr>
        <w:spacing w:after="120"/>
        <w:jc w:val="both"/>
      </w:pPr>
      <w:r>
        <w:rPr>
          <w:sz w:val="21"/>
        </w:rPr>
        <w:t>The Receiving Party may disclose Confidential Information to its Representatives who need to know it for the Permitted Purpose, provided the Receiving Party informs them of the confidential nature of the information and directs them to comply with this Agreement. "Representatives" means, with respect to a Party, its affiliates and its and their respective directors, officers, managers, members, partners, employees, accountants, attorneys, insurance advisors, financial and transaction advisors, and actual or prospective debt or equity financing sources and their advisors. Each Party is responsible for any breach of this Agreement by its Representatives as though the breach were its own.</w:t>
      </w:r>
    </w:p>
    <w:p>
      <w:pPr>
        <w:spacing w:before="200" w:after="80"/>
      </w:pPr>
      <w:r>
        <w:rPr>
          <w:b/>
          <w:sz w:val="22"/>
        </w:rPr>
        <w:t>5. Compelled Disclosure</w:t>
      </w:r>
    </w:p>
    <w:p>
      <w:pPr>
        <w:spacing w:after="120"/>
        <w:jc w:val="both"/>
      </w:pPr>
      <w:r>
        <w:rPr>
          <w:sz w:val="21"/>
        </w:rPr>
        <w:t>If the Receiving Party or any of its Representatives is required by law, regulation, subpoena or other legal or regulatory process to disclose Confidential Information, it may do so provided that it (a) gives the Disclosing Party prompt written notice to the extent legally permitted so that the Disclosing Party may seek a protective order or other remedy, (b) reasonably cooperates with the Disclosing Party at the Disclosing Party's expense in seeking such relief, (c) discloses only the portion of Confidential Information it is legally required to disclose, and (d) uses reasonable efforts to obtain confidential treatment for the information disclosed. No notice is required for disclosure made to a bank examiner or other regulator in the course of a routine examination not specifically directed at the Disclosing Party or a Possible Transaction.</w:t>
      </w:r>
    </w:p>
    <w:p>
      <w:pPr>
        <w:spacing w:before="200" w:after="80"/>
      </w:pPr>
      <w:r>
        <w:rPr>
          <w:b/>
          <w:sz w:val="22"/>
        </w:rPr>
        <w:t>6. No Solicitation; No Contact</w:t>
      </w:r>
    </w:p>
    <w:p>
      <w:pPr>
        <w:spacing w:after="120"/>
        <w:jc w:val="both"/>
      </w:pPr>
      <w:r>
        <w:rPr>
          <w:b/>
          <w:sz w:val="21"/>
        </w:rPr>
        <w:t>6.1</w:t>
      </w:r>
      <w:r>
        <w:rPr>
          <w:sz w:val="21"/>
        </w:rPr>
        <w:t xml:space="preserve"> For twenty-four (24) months from the Effective Date, neither Party will, directly or indirectly, solicit for employment or hire any employee of the other Party with whom it first became acquainted, or about whom it first learned, in connection with a Possible Transaction. This restriction does not apply to (a) general advertising or recruiting efforts not specifically targeted at such employees, (b) a person who responds to such general efforts on an unsolicited basis, or (c) a person whose employment with the other Party ended at least six months before the first contact.</w:t>
      </w:r>
    </w:p>
    <w:p>
      <w:pPr>
        <w:spacing w:after="120"/>
        <w:jc w:val="both"/>
      </w:pPr>
      <w:r>
        <w:rPr>
          <w:b/>
          <w:sz w:val="21"/>
        </w:rPr>
        <w:t>6.2</w:t>
      </w:r>
      <w:r>
        <w:rPr>
          <w:sz w:val="21"/>
        </w:rPr>
        <w:t xml:space="preserve"> Until a definitive written agreement regarding a Possible Transaction is executed, Badlands will not contact any employee, customer, supplier, vendor, lender, licensor, landlord or insurer of the Company regarding the Company, its business or a Possible Transaction, except through the individual designated by the Company below or as the Company otherwise approves in writing in advance.</w:t>
      </w:r>
    </w:p>
    <w:p>
      <w:pPr>
        <w:spacing w:before="200" w:after="80"/>
      </w:pPr>
      <w:r>
        <w:rPr>
          <w:b/>
          <w:sz w:val="22"/>
        </w:rPr>
        <w:t>7. No Obligation to Proceed</w:t>
      </w:r>
    </w:p>
    <w:p>
      <w:pPr>
        <w:spacing w:after="120"/>
        <w:jc w:val="both"/>
      </w:pPr>
      <w:r>
        <w:rPr>
          <w:sz w:val="21"/>
        </w:rPr>
        <w:t>Nothing in this Agreement obligates either Party to pursue, continue or complete discussions or to enter into any transaction. Neither Party will have any obligation with respect to a Possible Transaction unless and until a definitive written agreement is executed and delivered by both Parties, and then only on the terms of that agreement. Either Party may terminate discussions at any time, for any reason, without liability. This Agreement is binding notwithstanding this Section.</w:t>
      </w:r>
    </w:p>
    <w:p>
      <w:pPr>
        <w:spacing w:before="200" w:after="80"/>
      </w:pPr>
      <w:r>
        <w:rPr>
          <w:b/>
          <w:sz w:val="22"/>
        </w:rPr>
        <w:t>8. No Representations or Warranties</w:t>
      </w:r>
    </w:p>
    <w:p>
      <w:pPr>
        <w:spacing w:after="120"/>
        <w:jc w:val="both"/>
      </w:pPr>
      <w:r>
        <w:rPr>
          <w:sz w:val="21"/>
        </w:rPr>
        <w:t>Confidential Information is provided "as is." Neither Party makes any representation or warranty as to the accuracy or completeness of Confidential Information it discloses, and neither Party will have any liability to the other resulting from the other's use of or reliance on it. Representations and warranties, if any, will be made only in a definitive written agreement and will be subject to its terms.</w:t>
      </w:r>
    </w:p>
    <w:p>
      <w:pPr>
        <w:spacing w:before="200" w:after="80"/>
      </w:pPr>
      <w:r>
        <w:rPr>
          <w:b/>
          <w:sz w:val="22"/>
        </w:rPr>
        <w:t>9. Return or Destruction</w:t>
      </w:r>
    </w:p>
    <w:p>
      <w:pPr>
        <w:spacing w:after="120"/>
        <w:jc w:val="both"/>
      </w:pPr>
      <w:r>
        <w:rPr>
          <w:sz w:val="21"/>
        </w:rPr>
        <w:t>Upon the Disclosing Party's written request, the Receiving Party will, within thirty days, return or destroy all Confidential Information in its or its Representatives' possession and, if requested, certify in writing that it has done so. Derived Materials may be destroyed rather than returned. The Receiving Party may retain (a) electronic copies created by automatic backup or archiving systems in the ordinary course that are not readily accessible to ordinary users and (b) copies it is required to retain by law, regulation or bona fide internal document-retention or compliance policy. Retained copies remain subject to this Agreement for as long as they are retained, notwithstanding Section 10.</w:t>
      </w:r>
    </w:p>
    <w:p>
      <w:pPr>
        <w:spacing w:before="200" w:after="80"/>
      </w:pPr>
      <w:r>
        <w:rPr>
          <w:b/>
          <w:sz w:val="22"/>
        </w:rPr>
        <w:t>10. Term</w:t>
      </w:r>
    </w:p>
    <w:p>
      <w:pPr>
        <w:spacing w:after="120"/>
        <w:jc w:val="both"/>
      </w:pPr>
      <w:r>
        <w:rPr>
          <w:sz w:val="21"/>
        </w:rPr>
        <w:t>The obligations in this Agreement continue for two (2) years from the Effective Date, except that (a) Confidential Information that constitutes a trade secret under applicable law remains protected for as long as it remains a trade secret, and (b) the restrictions in Section 6.1 run for the period stated in that Section.</w:t>
      </w:r>
    </w:p>
    <w:p>
      <w:pPr>
        <w:spacing w:before="200" w:after="80"/>
      </w:pPr>
      <w:r>
        <w:rPr>
          <w:b/>
          <w:sz w:val="22"/>
        </w:rPr>
        <w:t>11. Remedies</w:t>
      </w:r>
    </w:p>
    <w:p>
      <w:pPr>
        <w:spacing w:after="120"/>
        <w:jc w:val="both"/>
      </w:pPr>
      <w:r>
        <w:rPr>
          <w:sz w:val="21"/>
        </w:rPr>
        <w:t>Each Party acknowledges that money damages would not be a sufficient remedy for a breach of this Agreement and that the Disclosing Party is entitled to seek specific performance and injunctive relief, without the need to post a bond or prove actual damages, in addition to all other remedies available at law or in equity.</w:t>
      </w:r>
    </w:p>
    <w:p>
      <w:pPr>
        <w:spacing w:before="200" w:after="80"/>
      </w:pPr>
      <w:r>
        <w:rPr>
          <w:b/>
          <w:sz w:val="22"/>
        </w:rPr>
        <w:t>12. No License</w:t>
      </w:r>
    </w:p>
    <w:p>
      <w:pPr>
        <w:spacing w:after="120"/>
        <w:jc w:val="both"/>
      </w:pPr>
      <w:r>
        <w:rPr>
          <w:sz w:val="21"/>
        </w:rPr>
        <w:t>Nothing in this Agreement grants the Receiving Party any license or right in or to any Confidential Information, or in any patent, copyright, trademark, trade secret or other intellectual property, whether by implication, estoppel or otherwise. All Confidential Information remains the property of the Disclosing Party.</w:t>
      </w:r>
    </w:p>
    <w:p>
      <w:pPr>
        <w:spacing w:before="200" w:after="80"/>
      </w:pPr>
      <w:r>
        <w:rPr>
          <w:b/>
          <w:sz w:val="22"/>
        </w:rPr>
        <w:t>13. Governing Law; Venue; Jury Waiver</w:t>
      </w:r>
    </w:p>
    <w:p>
      <w:pPr>
        <w:spacing w:after="120"/>
        <w:jc w:val="both"/>
      </w:pPr>
      <w:r>
        <w:rPr>
          <w:sz w:val="21"/>
        </w:rPr>
        <w:t xml:space="preserve">This Agreement is governed by the laws of the State of New York, without regard to its conflict-of-laws principles. Each Party submits to the exclusive jurisdiction of the state and federal courts located in New York County, New York, for any action arising out of or relating to this Agreement, and waives any objection to venue or forum in those courts. </w:t>
      </w:r>
      <w:r>
        <w:rPr>
          <w:b/>
          <w:sz w:val="21"/>
        </w:rPr>
        <w:t>EACH PARTY WAIVES ANY RIGHT TO TRIAL BY JURY IN ANY SUCH ACTION.</w:t>
      </w:r>
    </w:p>
    <w:p>
      <w:pPr>
        <w:spacing w:before="200" w:after="80"/>
      </w:pPr>
      <w:r>
        <w:rPr>
          <w:b/>
          <w:sz w:val="22"/>
        </w:rPr>
        <w:t>14. Assignment</w:t>
      </w:r>
    </w:p>
    <w:p>
      <w:pPr>
        <w:spacing w:after="120"/>
        <w:jc w:val="both"/>
      </w:pPr>
      <w:r>
        <w:rPr>
          <w:sz w:val="21"/>
        </w:rPr>
        <w:t>Neither Party may assign this Agreement without the other's prior written consent, except that Badlands may assign it to an affiliate or to an entity formed to effect a Possible Transaction, provided the assignee agrees in writing to be bound by it. This Agreement binds and benefits the Parties and their permitted successors and assigns.</w:t>
      </w:r>
    </w:p>
    <w:p>
      <w:pPr>
        <w:spacing w:before="200" w:after="80"/>
      </w:pPr>
      <w:r>
        <w:rPr>
          <w:b/>
          <w:sz w:val="22"/>
        </w:rPr>
        <w:t>15. Miscellaneous</w:t>
      </w:r>
    </w:p>
    <w:p>
      <w:pPr>
        <w:spacing w:after="120"/>
        <w:jc w:val="both"/>
      </w:pPr>
      <w:r>
        <w:rPr>
          <w:b/>
          <w:sz w:val="21"/>
        </w:rPr>
        <w:t>15.1 Entire Agreement.</w:t>
      </w:r>
      <w:r>
        <w:rPr>
          <w:sz w:val="21"/>
        </w:rPr>
        <w:t xml:space="preserve"> This Agreement is the entire agreement between the Parties concerning its subject matter and supersedes all prior understandings, written or oral, concerning that subject matter.</w:t>
      </w:r>
    </w:p>
    <w:p>
      <w:pPr>
        <w:spacing w:after="120"/>
        <w:jc w:val="both"/>
      </w:pPr>
      <w:r>
        <w:rPr>
          <w:b/>
          <w:sz w:val="21"/>
        </w:rPr>
        <w:t>15.2 Amendment; Waiver.</w:t>
      </w:r>
      <w:r>
        <w:rPr>
          <w:sz w:val="21"/>
        </w:rPr>
        <w:t xml:space="preserve"> This Agreement may be amended only by a writing signed by both Parties. No failure or delay in exercising a right operates as a waiver of it, and no single or partial exercise precludes any further exercise.</w:t>
      </w:r>
    </w:p>
    <w:p>
      <w:pPr>
        <w:spacing w:after="120"/>
        <w:jc w:val="both"/>
      </w:pPr>
      <w:r>
        <w:rPr>
          <w:b/>
          <w:sz w:val="21"/>
        </w:rPr>
        <w:t>15.3 Severability.</w:t>
      </w:r>
      <w:r>
        <w:rPr>
          <w:sz w:val="21"/>
        </w:rPr>
        <w:t xml:space="preserve"> If any provision is held unenforceable, it will be modified to the minimum extent necessary to make it enforceable, or if it cannot be, severed, and the remaining provisions will continue in full force.</w:t>
      </w:r>
    </w:p>
    <w:p>
      <w:pPr>
        <w:spacing w:after="120"/>
        <w:jc w:val="both"/>
      </w:pPr>
      <w:r>
        <w:rPr>
          <w:b/>
          <w:sz w:val="21"/>
        </w:rPr>
        <w:t>15.4 Counterparts; Electronic Signature.</w:t>
      </w:r>
      <w:r>
        <w:rPr>
          <w:sz w:val="21"/>
        </w:rPr>
        <w:t xml:space="preserve"> This Agreement may be signed in counterparts, each of which is an original and all of which together form one agreement. Signatures delivered by electronic signature platform, PDF or other electronic means have the same effect as original signatures.</w:t>
      </w:r>
    </w:p>
    <w:p>
      <w:pPr>
        <w:spacing w:after="120"/>
        <w:jc w:val="both"/>
      </w:pPr>
      <w:r>
        <w:rPr>
          <w:b/>
          <w:sz w:val="21"/>
        </w:rPr>
        <w:t>15.5 Notices.</w:t>
      </w:r>
      <w:r>
        <w:rPr>
          <w:sz w:val="21"/>
        </w:rPr>
        <w:t xml:space="preserve"> Notices under this Agreement must be in writing and are effective when sent by email to the addresses below with confirmation of receipt, or one business day after deposit with a nationally recognized overnight courier to the addresses below.</w:t>
      </w:r>
    </w:p>
    <w:p>
      <w:pPr>
        <w:spacing w:after="120"/>
        <w:jc w:val="both"/>
      </w:pPr>
      <w:r>
        <w:rPr>
          <w:b/>
          <w:sz w:val="21"/>
        </w:rPr>
        <w:t>15.6 No Third-Party Beneficiaries.</w:t>
      </w:r>
      <w:r>
        <w:rPr>
          <w:sz w:val="21"/>
        </w:rPr>
        <w:t xml:space="preserve"> This Agreement is for the benefit of the Parties only and confers no rights on any other person.</w:t>
      </w:r>
    </w:p>
    <w:p>
      <w:pPr>
        <w:spacing w:after="120"/>
        <w:jc w:val="both"/>
      </w:pPr>
      <w:r>
        <w:rPr>
          <w:sz w:val="21"/>
        </w:rPr>
        <w:t>The Parties have executed this Agreement as of the Effective Date.</w:t>
      </w:r>
    </w:p>
    <w:tbl>
      <w:tblPr>
        <w:tblW w:type="auto" w:w="0"/>
        <w:jc w:val="center"/>
        <w:tblLayout w:type="fixed"/>
        <w:tblLook w:firstColumn="1" w:firstRow="1" w:lastColumn="0" w:lastRow="0" w:noHBand="0" w:noVBand="1" w:val="04A0"/>
      </w:tblPr>
      <w:tblGrid>
        <w:gridCol w:w="4680"/>
        <w:gridCol w:w="4680"/>
      </w:tblGrid>
      <w:tr>
        <w:tc>
          <w:tcPr>
            <w:tcW w:type="dxa" w:w="4608"/>
          </w:tcPr>
          <w:p>
            <w:pPr>
              <w:spacing w:after="40"/>
            </w:pPr>
            <w:r>
              <w:rPr>
                <w:b/>
                <w:color w:val="000000"/>
                <w:sz w:val="21"/>
                <w:highlight w:val="yellow"/>
              </w:rPr>
              <w:t>CONFIRM: Badlands legal entity name</w:t>
            </w:r>
          </w:p>
          <w:p>
            <w:pPr>
              <w:spacing w:after="40"/>
            </w:pPr>
          </w:p>
          <w:p>
            <w:pPr>
              <w:spacing w:after="40"/>
            </w:pPr>
            <w:r>
              <w:rPr>
                <w:sz w:val="21"/>
              </w:rPr>
              <w:t>By: ______________________________</w:t>
            </w:r>
          </w:p>
          <w:p>
            <w:pPr>
              <w:spacing w:after="40"/>
            </w:pPr>
          </w:p>
          <w:p>
            <w:pPr>
              <w:spacing w:after="40"/>
            </w:pPr>
            <w:r>
              <w:rPr>
                <w:sz w:val="21"/>
              </w:rPr>
              <w:t>Name: Lance Smith</w:t>
            </w:r>
          </w:p>
          <w:p>
            <w:pPr>
              <w:spacing w:after="40"/>
            </w:pPr>
            <w:r>
              <w:rPr>
                <w:sz w:val="21"/>
              </w:rPr>
              <w:t>Title: Corporate Development</w:t>
            </w:r>
          </w:p>
          <w:p>
            <w:pPr>
              <w:spacing w:after="40"/>
            </w:pPr>
            <w:r>
              <w:rPr>
                <w:sz w:val="21"/>
              </w:rPr>
              <w:t>Date: ______________________________</w:t>
            </w:r>
          </w:p>
        </w:tc>
        <w:tc>
          <w:tcPr>
            <w:tcW w:type="dxa" w:w="4608"/>
          </w:tcPr>
          <w:p>
            <w:pPr>
              <w:spacing w:after="40"/>
            </w:pPr>
            <w:r>
              <w:rPr>
                <w:b/>
                <w:sz w:val="21"/>
              </w:rPr>
              <w:t>Ameritech Systems Corp.</w:t>
            </w:r>
          </w:p>
          <w:p>
            <w:pPr>
              <w:spacing w:after="40"/>
            </w:pPr>
          </w:p>
          <w:p>
            <w:pPr>
              <w:spacing w:after="40"/>
            </w:pPr>
            <w:r>
              <w:rPr>
                <w:sz w:val="21"/>
              </w:rPr>
              <w:t>By: ______________________________</w:t>
            </w:r>
          </w:p>
          <w:p>
            <w:pPr>
              <w:spacing w:after="40"/>
            </w:pPr>
          </w:p>
          <w:p>
            <w:pPr>
              <w:spacing w:after="40"/>
            </w:pPr>
            <w:r>
              <w:rPr>
                <w:sz w:val="21"/>
              </w:rPr>
              <w:t>Name: Steven Lee</w:t>
            </w:r>
          </w:p>
          <w:p>
            <w:pPr>
              <w:spacing w:after="40"/>
            </w:pPr>
            <w:r>
              <w:rPr>
                <w:sz w:val="21"/>
              </w:rPr>
              <w:t>Title: President</w:t>
            </w:r>
          </w:p>
          <w:p>
            <w:pPr>
              <w:spacing w:after="40"/>
            </w:pPr>
            <w:r>
              <w:rPr>
                <w:sz w:val="21"/>
              </w:rPr>
              <w:t>Date: ______________________________</w:t>
            </w:r>
          </w:p>
        </w:tc>
      </w:tr>
    </w:tbl>
    <w:p/>
    <w:p>
      <w:r>
        <w:rPr>
          <w:b/>
          <w:sz w:val="21"/>
        </w:rPr>
        <w:t>Notice addresses.</w:t>
      </w:r>
    </w:p>
    <w:p>
      <w:pPr>
        <w:spacing w:after="120"/>
      </w:pPr>
      <w:r>
        <w:rPr>
          <w:sz w:val="21"/>
        </w:rPr>
        <w:t xml:space="preserve">Badlands: </w:t>
      </w:r>
      <w:r>
        <w:rPr>
          <w:b/>
          <w:color w:val="000000"/>
          <w:sz w:val="21"/>
          <w:highlight w:val="yellow"/>
        </w:rPr>
        <w:t>CONFIRM: Badlands legal entity name</w:t>
      </w:r>
      <w:r>
        <w:rPr>
          <w:sz w:val="21"/>
        </w:rPr>
        <w:t xml:space="preserve">, </w:t>
      </w:r>
      <w:r>
        <w:rPr>
          <w:b/>
          <w:color w:val="000000"/>
          <w:sz w:val="21"/>
          <w:highlight w:val="yellow"/>
        </w:rPr>
        <w:t>CONFIRM: Badlands notice address</w:t>
      </w:r>
      <w:r>
        <w:rPr>
          <w:sz w:val="21"/>
        </w:rPr>
        <w:t>. Email: lance@badlandssecurity.com</w:t>
      </w:r>
    </w:p>
    <w:p>
      <w:pPr>
        <w:spacing w:after="120"/>
      </w:pPr>
      <w:r>
        <w:rPr>
          <w:sz w:val="21"/>
        </w:rPr>
        <w:t xml:space="preserve">Company: Ameritech Systems Corp., </w:t>
      </w:r>
      <w:r>
        <w:rPr>
          <w:b/>
          <w:color w:val="000000"/>
          <w:sz w:val="21"/>
          <w:highlight w:val="yellow"/>
        </w:rPr>
        <w:t>CONFIRM: Ameritech notice address, Flushing, NY</w:t>
      </w:r>
      <w:r>
        <w:rPr>
          <w:sz w:val="21"/>
        </w:rPr>
        <w:t>. Email: steven@ameritechsystems.net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