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1080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5352"/>
        <w:gridCol w:w="5448"/>
      </w:tblGrid>
      <w:tr>
        <w:trPr/>
        <w:tc>
          <w:tcPr>
            <w:tcW w:w="5352" w:type="dxa"/>
            <w:tcBorders>
              <w:top w:val="nil"/>
              <w:start w:val="nil"/>
              <w:end w:val="nil"/>
            </w:tcBorders>
          </w:tcPr>
          <w:p>
            <w:pPr>
              <w:pStyle w:val="Normal"/>
              <w:widowControl/>
              <w:tabs>
                <w:tab w:val="clear" w:pos="720"/>
                <w:tab w:val="left" w:pos="2160" w:leader="none"/>
                <w:tab w:val="left" w:pos="2520" w:leader="none"/>
              </w:tabs>
              <w:spacing w:before="240" w:after="0"/>
              <w:jc w:val="start"/>
              <w:rPr>
                <w:rFonts w:cs="Calibri"/>
                <w:b/>
                <w:smallCaps/>
                <w:sz w:val="42"/>
                <w:szCs w:val="42"/>
              </w:rPr>
            </w:pPr>
            <w:r>
              <w:rPr>
                <w:rFonts w:eastAsia="Calibri" w:cs="Calibri"/>
                <w:b/>
                <w:smallCaps/>
                <w:kern w:val="0"/>
                <w:sz w:val="42"/>
                <w:szCs w:val="42"/>
                <w:lang w:val="en-US" w:eastAsia="en-US" w:bidi="ar-SA"/>
              </w:rPr>
              <w:t>Lance Ashdown</w:t>
            </w:r>
          </w:p>
        </w:tc>
        <w:tc>
          <w:tcPr>
            <w:tcW w:w="5448" w:type="dxa"/>
            <w:tcBorders>
              <w:top w:val="nil"/>
              <w:start w:val="nil"/>
              <w:end w:val="nil"/>
            </w:tcBorders>
          </w:tcPr>
          <w:p>
            <w:pPr>
              <w:pStyle w:val="Normal"/>
              <w:widowControl/>
              <w:tabs>
                <w:tab w:val="clear" w:pos="720"/>
                <w:tab w:val="left" w:pos="2160" w:leader="none"/>
                <w:tab w:val="left" w:pos="2520" w:leader="none"/>
              </w:tabs>
              <w:spacing w:lineRule="auto" w:line="240" w:before="0" w:after="0"/>
              <w:jc w:val="end"/>
              <w:rPr>
                <w:rFonts w:cs="Calibri"/>
                <w:sz w:val="20"/>
                <w:szCs w:val="20"/>
              </w:rPr>
            </w:pPr>
            <w:hyperlink r:id="rId2">
              <w:r>
                <w:rPr>
                  <w:rStyle w:val="Hyperlink"/>
                  <w:rFonts w:eastAsia="Calibri" w:cs="Calibri"/>
                  <w:kern w:val="0"/>
                  <w:sz w:val="20"/>
                  <w:szCs w:val="20"/>
                  <w:lang w:val="en-US" w:eastAsia="en-US" w:bidi="ar-SA"/>
                </w:rPr>
                <w:t>lance.ashdown31@gmail.com</w:t>
              </w:r>
            </w:hyperlink>
          </w:p>
          <w:p>
            <w:pPr>
              <w:pStyle w:val="Normal"/>
              <w:widowControl/>
              <w:tabs>
                <w:tab w:val="clear" w:pos="720"/>
                <w:tab w:val="left" w:pos="2160" w:leader="none"/>
                <w:tab w:val="left" w:pos="2520" w:leader="none"/>
              </w:tabs>
              <w:spacing w:lineRule="auto" w:line="240" w:before="0" w:after="0"/>
              <w:jc w:val="end"/>
              <w:rPr>
                <w:rFonts w:cs="Calibri"/>
                <w:sz w:val="20"/>
                <w:szCs w:val="20"/>
              </w:rPr>
            </w:pPr>
            <w:r>
              <w:rPr>
                <w:rFonts w:eastAsia="Calibri" w:cs="Calibri"/>
                <w:kern w:val="0"/>
                <w:sz w:val="20"/>
                <w:szCs w:val="20"/>
                <w:lang w:val="en-US" w:eastAsia="en-US" w:bidi="ar-SA"/>
              </w:rPr>
              <w:t>Chapel Hill, NC 27514</w:t>
            </w:r>
          </w:p>
          <w:p>
            <w:pPr>
              <w:pStyle w:val="Normal"/>
              <w:widowControl/>
              <w:tabs>
                <w:tab w:val="clear" w:pos="720"/>
                <w:tab w:val="left" w:pos="2160" w:leader="none"/>
                <w:tab w:val="left" w:pos="2520" w:leader="none"/>
              </w:tabs>
              <w:spacing w:lineRule="auto" w:line="240" w:before="0" w:after="0"/>
              <w:jc w:val="end"/>
              <w:rPr>
                <w:rFonts w:cs="Calibri"/>
                <w:sz w:val="20"/>
                <w:szCs w:val="20"/>
              </w:rPr>
            </w:pPr>
            <w:r>
              <w:rPr>
                <w:rFonts w:eastAsia="Calibri" w:cs="Calibri"/>
                <w:kern w:val="0"/>
                <w:sz w:val="20"/>
                <w:szCs w:val="20"/>
                <w:lang w:val="en-US" w:eastAsia="en-US" w:bidi="ar-SA"/>
              </w:rPr>
              <w:t>919-597-8944</w:t>
            </w:r>
          </w:p>
          <w:p>
            <w:pPr>
              <w:pStyle w:val="Normal"/>
              <w:widowControl/>
              <w:tabs>
                <w:tab w:val="clear" w:pos="720"/>
                <w:tab w:val="left" w:pos="2160" w:leader="none"/>
                <w:tab w:val="left" w:pos="2520" w:leader="none"/>
              </w:tabs>
              <w:spacing w:lineRule="auto" w:line="240" w:before="0" w:after="0"/>
              <w:jc w:val="end"/>
              <w:rPr>
                <w:rFonts w:cs="Calibri"/>
                <w:sz w:val="20"/>
                <w:szCs w:val="20"/>
              </w:rPr>
            </w:pPr>
            <w:hyperlink r:id="rId3">
              <w:r>
                <w:rPr>
                  <w:rStyle w:val="Hyperlink"/>
                  <w:rFonts w:eastAsia="Calibri" w:cs="Calibri"/>
                  <w:kern w:val="0"/>
                  <w:sz w:val="20"/>
                  <w:szCs w:val="20"/>
                  <w:lang w:val="en-US" w:eastAsia="en-US" w:bidi="ar-SA"/>
                </w:rPr>
                <w:t>linkedin.com/in/lance-ashdown</w:t>
              </w:r>
            </w:hyperlink>
          </w:p>
        </w:tc>
      </w:tr>
    </w:tbl>
    <w:p>
      <w:pPr>
        <w:pStyle w:val="Normal"/>
        <w:pBdr>
          <w:bottom w:val="single" w:sz="2" w:space="1" w:color="000000"/>
        </w:pBdr>
        <w:tabs>
          <w:tab w:val="clear" w:pos="720"/>
          <w:tab w:val="left" w:pos="2160" w:leader="none"/>
          <w:tab w:val="left" w:pos="2520" w:leader="none"/>
        </w:tabs>
        <w:spacing w:before="120" w:after="0"/>
        <w:rPr>
          <w:rFonts w:cs="Calibri"/>
          <w:b/>
        </w:rPr>
      </w:pPr>
      <w:r>
        <w:rPr>
          <w:rFonts w:cs="Calibri"/>
          <w:b/>
        </w:rPr>
        <w:t>PROFESSIONAL SUMMARY</w:t>
      </w:r>
    </w:p>
    <w:p>
      <w:pPr>
        <w:pStyle w:val="Normal"/>
        <w:tabs>
          <w:tab w:val="clear" w:pos="720"/>
          <w:tab w:val="left" w:pos="2160" w:leader="none"/>
          <w:tab w:val="left" w:pos="2520" w:leader="none"/>
        </w:tabs>
        <w:spacing w:before="0" w:after="360"/>
        <w:rPr>
          <w:rFonts w:cs="Calibri"/>
          <w:sz w:val="20"/>
          <w:szCs w:val="20"/>
        </w:rPr>
      </w:pPr>
      <w:r>
        <w:rPr>
          <w:sz w:val="20"/>
          <w:szCs w:val="20"/>
        </w:rPr>
        <w:t>Senior Technical Writer with 25+ years of expertise in enterprise documentation, specializing in cloud services and core database technologies. Proven track record of leading documentation initiatives for complex technical products at AWS and Oracle. Known for reducing support costs through high-quality, comprehensive technical documentation and for automating documentation processes.</w:t>
      </w:r>
    </w:p>
    <w:p>
      <w:pPr>
        <w:pStyle w:val="Normal"/>
        <w:pBdr>
          <w:bottom w:val="single" w:sz="2" w:space="1" w:color="000000"/>
        </w:pBdr>
        <w:tabs>
          <w:tab w:val="clear" w:pos="720"/>
          <w:tab w:val="left" w:pos="2160" w:leader="none"/>
          <w:tab w:val="left" w:pos="2520" w:leader="none"/>
        </w:tabs>
        <w:spacing w:before="120" w:after="0"/>
        <w:rPr>
          <w:rFonts w:cs="Calibri"/>
          <w:b/>
        </w:rPr>
      </w:pPr>
      <w:r>
        <w:rPr>
          <w:rFonts w:cs="Calibri"/>
          <w:b/>
        </w:rPr>
        <w:t>CORE COMPETENCIES</w:t>
      </w:r>
    </w:p>
    <w:tbl>
      <w:tblPr>
        <w:tblStyle w:val="TableGrid"/>
        <w:tblW w:w="1029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807"/>
        <w:gridCol w:w="7489"/>
      </w:tblGrid>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Technologies</w:t>
            </w:r>
          </w:p>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Languages documented</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 xml:space="preserve">Amazon RDS, Oracle Database@AWS, Oracle Database, Oracle XML SDK, and others </w:t>
            </w:r>
          </w:p>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Oracle SQL, PL/SQL, XML, Java; RMAN command language; AWS CLI/API</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Scripting languages</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Perl, UNIX/Linux shells, Ant, Python (learning), and others</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Markup languages</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XML (DITA, DocBook), HTML, Markdown</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Operating systems</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 xml:space="preserve">Amazon Linux, RHEL, Oracle Solaris, Windows </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Authoring tools</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Oxygen, Arbortext, FrameMaker</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CMS tools</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Github, Subversion, SDL</w:t>
            </w:r>
          </w:p>
        </w:tc>
      </w:tr>
      <w:tr>
        <w:trPr/>
        <w:tc>
          <w:tcPr>
            <w:tcW w:w="2807"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b/>
                <w:sz w:val="20"/>
                <w:szCs w:val="20"/>
              </w:rPr>
            </w:pPr>
            <w:r>
              <w:rPr>
                <w:rFonts w:eastAsia="Calibri" w:cs="Calibri"/>
                <w:b/>
                <w:kern w:val="0"/>
                <w:sz w:val="20"/>
                <w:szCs w:val="20"/>
                <w:lang w:val="en-US" w:eastAsia="en-US" w:bidi="ar-SA"/>
              </w:rPr>
              <w:t>Leadership</w:t>
            </w:r>
          </w:p>
        </w:tc>
        <w:tc>
          <w:tcPr>
            <w:tcW w:w="7489" w:type="dxa"/>
            <w:tcBorders>
              <w:top w:val="nil"/>
              <w:start w:val="nil"/>
              <w:bottom w:val="nil"/>
              <w:end w:val="nil"/>
            </w:tcBorders>
          </w:tcPr>
          <w:p>
            <w:pPr>
              <w:pStyle w:val="Normal"/>
              <w:widowControl/>
              <w:tabs>
                <w:tab w:val="clear" w:pos="720"/>
                <w:tab w:val="left" w:pos="2160" w:leader="none"/>
                <w:tab w:val="left" w:pos="2520" w:leader="none"/>
              </w:tabs>
              <w:spacing w:before="0" w:after="0"/>
              <w:jc w:val="start"/>
              <w:rPr>
                <w:rFonts w:cs="Calibri"/>
                <w:sz w:val="20"/>
                <w:szCs w:val="20"/>
              </w:rPr>
            </w:pPr>
            <w:r>
              <w:rPr>
                <w:rFonts w:eastAsia="Calibri" w:cs="Calibri"/>
                <w:kern w:val="0"/>
                <w:sz w:val="20"/>
                <w:szCs w:val="20"/>
                <w:lang w:val="en-US" w:eastAsia="en-US" w:bidi="ar-SA"/>
              </w:rPr>
              <w:t>Team lead, project management, documentation strategy</w:t>
            </w:r>
          </w:p>
        </w:tc>
      </w:tr>
    </w:tbl>
    <w:p>
      <w:pPr>
        <w:pStyle w:val="Normal"/>
        <w:tabs>
          <w:tab w:val="clear" w:pos="720"/>
          <w:tab w:val="left" w:pos="8910" w:leader="none"/>
        </w:tabs>
        <w:spacing w:before="0" w:after="0"/>
        <w:rPr>
          <w:rFonts w:cs="Calibri"/>
          <w:b/>
          <w:sz w:val="21"/>
          <w:szCs w:val="21"/>
        </w:rPr>
      </w:pPr>
      <w:r>
        <w:rPr>
          <w:rFonts w:cs="Calibri"/>
          <w:b/>
          <w:sz w:val="21"/>
          <w:szCs w:val="21"/>
        </w:rPr>
      </w:r>
    </w:p>
    <w:p>
      <w:pPr>
        <w:pStyle w:val="Normal"/>
        <w:pBdr>
          <w:bottom w:val="single" w:sz="2" w:space="1" w:color="000000"/>
        </w:pBdr>
        <w:tabs>
          <w:tab w:val="clear" w:pos="720"/>
          <w:tab w:val="left" w:pos="8910" w:leader="none"/>
        </w:tabs>
        <w:spacing w:before="0" w:after="0"/>
        <w:rPr>
          <w:rFonts w:cs="Calibri"/>
          <w:b/>
        </w:rPr>
      </w:pPr>
      <w:r>
        <w:rPr>
          <w:rFonts w:cs="Calibri"/>
          <w:b/>
        </w:rPr>
        <w:t>PROFESSIONAL EXPERIENCE</w:t>
      </w:r>
    </w:p>
    <w:p>
      <w:pPr>
        <w:pStyle w:val="Normal"/>
        <w:tabs>
          <w:tab w:val="clear" w:pos="720"/>
          <w:tab w:val="left" w:pos="7920" w:leader="none"/>
        </w:tabs>
        <w:spacing w:before="0" w:after="240"/>
        <w:rPr>
          <w:rFonts w:cs="Calibri"/>
          <w:b/>
          <w:sz w:val="21"/>
          <w:szCs w:val="21"/>
        </w:rPr>
      </w:pPr>
      <w:bookmarkStart w:id="0" w:name="MS"/>
      <w:bookmarkEnd w:id="0"/>
      <w:r>
        <w:rPr>
          <w:rFonts w:cs="Calibri"/>
          <w:b/>
          <w:sz w:val="21"/>
          <w:szCs w:val="21"/>
        </w:rPr>
        <w:t>AMAZON WEB SERVICES</w:t>
      </w:r>
      <w:r>
        <w:rPr>
          <w:rFonts w:cs="Calibri"/>
          <w:b/>
          <w:sz w:val="20"/>
          <w:szCs w:val="20"/>
        </w:rPr>
        <w:t xml:space="preserve">—SEATTLE, WA                                        </w:t>
      </w:r>
      <w:r>
        <w:rPr>
          <w:rFonts w:cs="Calibri"/>
          <w:b/>
          <w:sz w:val="21"/>
          <w:szCs w:val="21"/>
        </w:rPr>
        <w:t xml:space="preserve">                                                                                               2020</w:t>
      </w:r>
      <w:r>
        <w:rPr>
          <w:rFonts w:cs="Calibri"/>
          <w:sz w:val="20"/>
          <w:szCs w:val="20"/>
        </w:rPr>
        <w:t xml:space="preserve"> – </w:t>
      </w:r>
      <w:r>
        <w:rPr>
          <w:rFonts w:cs="Calibri"/>
          <w:b/>
          <w:sz w:val="21"/>
          <w:szCs w:val="21"/>
        </w:rPr>
        <w:t>2025</w:t>
        <w:br/>
        <w:t>Senior technical writer (L6)</w:t>
      </w:r>
    </w:p>
    <w:p>
      <w:pPr>
        <w:pStyle w:val="Normal"/>
        <w:tabs>
          <w:tab w:val="clear" w:pos="720"/>
          <w:tab w:val="left" w:pos="9270" w:leader="none"/>
        </w:tabs>
        <w:spacing w:before="120" w:after="120"/>
        <w:ind w:start="720"/>
        <w:rPr>
          <w:rFonts w:cs="Calibri"/>
          <w:b/>
          <w:sz w:val="20"/>
          <w:szCs w:val="20"/>
        </w:rPr>
      </w:pPr>
      <w:r>
        <w:rPr>
          <w:rFonts w:cs="Calibri"/>
          <w:b/>
          <w:sz w:val="20"/>
          <w:szCs w:val="20"/>
        </w:rPr>
        <w:t xml:space="preserve">Oracle Database@AWS documentation </w:t>
      </w:r>
      <w:r>
        <w:rPr>
          <w:rFonts w:cs="Calibri"/>
          <w:sz w:val="20"/>
          <w:szCs w:val="20"/>
        </w:rPr>
        <w:t>(2024 – 2025)</w:t>
      </w:r>
      <w:r>
        <w:rPr>
          <w:rFonts w:cs="Calibri"/>
          <w:b/>
          <w:sz w:val="20"/>
          <w:szCs w:val="20"/>
        </w:rPr>
        <w:br/>
      </w:r>
      <w:r>
        <w:rPr>
          <w:rFonts w:cs="Calibri"/>
          <w:sz w:val="20"/>
          <w:szCs w:val="20"/>
        </w:rPr>
        <w:t>Spearheaded documentation strategy for new AWS database offering. Wrote the following content:</w:t>
      </w:r>
    </w:p>
    <w:p>
      <w:pPr>
        <w:pStyle w:val="ListParagraph"/>
        <w:numPr>
          <w:ilvl w:val="0"/>
          <w:numId w:val="1"/>
        </w:numPr>
        <w:tabs>
          <w:tab w:val="clear" w:pos="720"/>
          <w:tab w:val="left" w:pos="8820" w:leader="none"/>
        </w:tabs>
        <w:spacing w:before="0" w:after="0"/>
        <w:contextualSpacing/>
        <w:rPr/>
      </w:pPr>
      <w:hyperlink r:id="rId4">
        <w:r>
          <w:rPr>
            <w:rStyle w:val="Hyperlink"/>
            <w:rFonts w:cs="Calibri"/>
            <w:i w:val="false"/>
            <w:iCs w:val="false"/>
            <w:sz w:val="20"/>
            <w:szCs w:val="20"/>
          </w:rPr>
          <w:t>Or</w:t>
        </w:r>
        <w:r>
          <w:rPr>
            <w:rStyle w:val="Hyperlink"/>
            <w:rFonts w:cs="Calibri"/>
            <w:i w:val="false"/>
            <w:iCs w:val="false"/>
            <w:sz w:val="20"/>
            <w:szCs w:val="20"/>
          </w:rPr>
          <w:t>acle Database@AWS Documentation</w:t>
        </w:r>
      </w:hyperlink>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 xml:space="preserve">Text and help panels for the Oracle Database@AWS console </w:t>
      </w:r>
    </w:p>
    <w:p>
      <w:pPr>
        <w:pStyle w:val="ListParagraph"/>
        <w:numPr>
          <w:ilvl w:val="0"/>
          <w:numId w:val="1"/>
        </w:numPr>
        <w:tabs>
          <w:tab w:val="clear" w:pos="720"/>
          <w:tab w:val="left" w:pos="8820" w:leader="none"/>
        </w:tabs>
        <w:spacing w:before="0" w:after="120"/>
        <w:contextualSpacing/>
        <w:rPr>
          <w:rFonts w:cs="Calibri"/>
          <w:sz w:val="20"/>
          <w:szCs w:val="20"/>
        </w:rPr>
      </w:pPr>
      <w:r>
        <w:rPr>
          <w:rFonts w:cs="Calibri"/>
          <w:sz w:val="20"/>
          <w:szCs w:val="20"/>
        </w:rPr>
        <w:t>Alert messages for Oracle Database@AWS</w:t>
      </w:r>
    </w:p>
    <w:p>
      <w:pPr>
        <w:pStyle w:val="Normal"/>
        <w:tabs>
          <w:tab w:val="clear" w:pos="720"/>
          <w:tab w:val="left" w:pos="9270" w:leader="none"/>
        </w:tabs>
        <w:spacing w:before="0" w:after="120"/>
        <w:ind w:start="720"/>
        <w:rPr>
          <w:rFonts w:cs="Calibri"/>
          <w:sz w:val="20"/>
          <w:szCs w:val="20"/>
        </w:rPr>
      </w:pPr>
      <w:r>
        <w:rPr>
          <w:rFonts w:cs="Calibri"/>
          <w:b/>
          <w:sz w:val="20"/>
          <w:szCs w:val="20"/>
        </w:rPr>
        <w:t xml:space="preserve">Amazon RDS documentation </w:t>
      </w:r>
      <w:r>
        <w:rPr>
          <w:rFonts w:cs="Calibri"/>
          <w:sz w:val="20"/>
          <w:szCs w:val="20"/>
        </w:rPr>
        <w:t>(2020 – 2025)</w:t>
        <w:br/>
        <w:t xml:space="preserve">Authored core documentation for </w:t>
      </w:r>
      <w:hyperlink r:id="rId5">
        <w:r>
          <w:rPr>
            <w:rStyle w:val="Hyperlink"/>
            <w:rFonts w:cs="Calibri"/>
            <w:sz w:val="20"/>
            <w:szCs w:val="20"/>
          </w:rPr>
          <w:t>Amazon RDS and Aurora</w:t>
        </w:r>
      </w:hyperlink>
      <w:r>
        <w:rPr>
          <w:rFonts w:cs="Calibri"/>
          <w:sz w:val="20"/>
          <w:szCs w:val="20"/>
        </w:rPr>
        <w:t>. 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hyperlink r:id="rId6">
        <w:r>
          <w:rPr>
            <w:rStyle w:val="Hyperlink"/>
            <w:rFonts w:cs="Calibri"/>
            <w:sz w:val="20"/>
            <w:szCs w:val="20"/>
          </w:rPr>
          <w:t>RDS for Oracle</w:t>
        </w:r>
      </w:hyperlink>
      <w:r>
        <w:rPr>
          <w:rFonts w:cs="Calibri"/>
          <w:sz w:val="20"/>
          <w:szCs w:val="20"/>
        </w:rPr>
        <w:t xml:space="preserve">, </w:t>
      </w:r>
      <w:hyperlink r:id="rId7">
        <w:r>
          <w:rPr>
            <w:rStyle w:val="Hyperlink"/>
            <w:rFonts w:cs="Calibri"/>
            <w:sz w:val="20"/>
            <w:szCs w:val="20"/>
          </w:rPr>
          <w:t>RDS Custom</w:t>
        </w:r>
      </w:hyperlink>
      <w:r>
        <w:rPr>
          <w:rFonts w:cs="Calibri"/>
          <w:sz w:val="20"/>
          <w:szCs w:val="20"/>
        </w:rPr>
        <w:t xml:space="preserve">, </w:t>
      </w:r>
      <w:hyperlink r:id="rId8">
        <w:r>
          <w:rPr>
            <w:rStyle w:val="Hyperlink"/>
            <w:rFonts w:cs="Calibri"/>
            <w:sz w:val="20"/>
            <w:szCs w:val="20"/>
          </w:rPr>
          <w:t>Monitoring RDS</w:t>
        </w:r>
      </w:hyperlink>
      <w:r>
        <w:rPr>
          <w:rFonts w:cs="Calibri"/>
          <w:sz w:val="20"/>
          <w:szCs w:val="20"/>
        </w:rPr>
        <w:t xml:space="preserve">, </w:t>
      </w:r>
      <w:hyperlink r:id="rId9">
        <w:r>
          <w:rPr>
            <w:rStyle w:val="Hyperlink"/>
            <w:rFonts w:cs="Calibri"/>
            <w:sz w:val="20"/>
            <w:szCs w:val="20"/>
          </w:rPr>
          <w:t>Managing RDS</w:t>
        </w:r>
      </w:hyperlink>
      <w:r>
        <w:rPr>
          <w:rFonts w:cs="Calibri"/>
          <w:sz w:val="20"/>
          <w:szCs w:val="20"/>
        </w:rPr>
        <w:t xml:space="preserve">, </w:t>
      </w:r>
      <w:hyperlink r:id="rId10">
        <w:r>
          <w:rPr>
            <w:rStyle w:val="Hyperlink"/>
            <w:rFonts w:cs="Calibri"/>
            <w:sz w:val="20"/>
            <w:szCs w:val="20"/>
          </w:rPr>
          <w:t>Configuring RDS</w:t>
        </w:r>
      </w:hyperlink>
      <w:r>
        <w:rPr>
          <w:rFonts w:cs="Calibri"/>
          <w:sz w:val="20"/>
          <w:szCs w:val="20"/>
        </w:rPr>
        <w:t xml:space="preserve">, </w:t>
      </w:r>
      <w:hyperlink r:id="rId11">
        <w:r>
          <w:rPr>
            <w:rStyle w:val="Hyperlink"/>
            <w:rFonts w:cs="Calibri"/>
            <w:sz w:val="20"/>
            <w:szCs w:val="20"/>
          </w:rPr>
          <w:t>What is RDS</w:t>
        </w:r>
      </w:hyperlink>
      <w:r>
        <w:rPr>
          <w:rFonts w:cs="Calibri"/>
          <w:sz w:val="20"/>
          <w:szCs w:val="20"/>
        </w:rPr>
        <w:t xml:space="preserve">, and topics in the </w:t>
      </w:r>
      <w:r>
        <w:rPr>
          <w:rFonts w:cs="Calibri"/>
          <w:i/>
          <w:iCs/>
          <w:sz w:val="20"/>
          <w:szCs w:val="20"/>
        </w:rPr>
        <w:t>Amazon RDS User Guide</w:t>
      </w:r>
      <w:r>
        <w:rPr>
          <w:rFonts w:cs="Calibri"/>
          <w:sz w:val="20"/>
          <w:szCs w:val="20"/>
        </w:rPr>
        <w:t xml:space="preserve"> (5397p) and </w:t>
      </w:r>
      <w:r>
        <w:rPr>
          <w:rFonts w:cs="Calibri"/>
          <w:i/>
          <w:iCs/>
          <w:sz w:val="20"/>
          <w:szCs w:val="20"/>
        </w:rPr>
        <w:t>Amazon Aurora User Guide</w:t>
      </w:r>
      <w:r>
        <w:rPr>
          <w:rFonts w:cs="Calibri"/>
          <w:sz w:val="20"/>
          <w:szCs w:val="20"/>
        </w:rPr>
        <w:t xml:space="preserve"> (4762p)</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 xml:space="preserve">Updates to the </w:t>
      </w:r>
      <w:r>
        <w:fldChar w:fldCharType="begin"/>
      </w:r>
      <w:r>
        <w:rPr>
          <w:rStyle w:val="Hyperlink"/>
          <w:sz w:val="20"/>
          <w:i/>
          <w:szCs w:val="20"/>
          <w:iCs/>
          <w:rFonts w:cs="Calibri"/>
        </w:rPr>
        <w:instrText xml:space="preserve"> HYPERLINK "https://docs.aws.amazon.com/rds/" \l "references"</w:instrText>
      </w:r>
      <w:r>
        <w:rPr>
          <w:rStyle w:val="Hyperlink"/>
          <w:sz w:val="20"/>
          <w:i/>
          <w:szCs w:val="20"/>
          <w:iCs/>
          <w:rFonts w:cs="Calibri"/>
        </w:rPr>
        <w:fldChar w:fldCharType="separate"/>
      </w:r>
      <w:r>
        <w:rPr>
          <w:rStyle w:val="Hyperlink"/>
          <w:rFonts w:cs="Calibri"/>
          <w:i/>
          <w:iCs/>
          <w:sz w:val="20"/>
          <w:szCs w:val="20"/>
        </w:rPr>
        <w:t>RDS CLI/API Reference</w:t>
      </w:r>
      <w:r>
        <w:rPr>
          <w:rStyle w:val="Hyperlink"/>
          <w:sz w:val="20"/>
          <w:i/>
          <w:szCs w:val="20"/>
          <w:iCs/>
          <w:rFonts w:cs="Calibri"/>
        </w:rPr>
        <w:fldChar w:fldCharType="end"/>
      </w:r>
      <w:r>
        <w:rPr>
          <w:rFonts w:cs="Calibri"/>
          <w:sz w:val="20"/>
          <w:szCs w:val="20"/>
        </w:rPr>
        <w:t xml:space="preserve">, </w:t>
      </w:r>
      <w:r>
        <w:fldChar w:fldCharType="begin"/>
      </w:r>
      <w:r>
        <w:rPr>
          <w:rStyle w:val="Hyperlink"/>
          <w:sz w:val="20"/>
          <w:i/>
          <w:szCs w:val="20"/>
          <w:iCs/>
          <w:rFonts w:cs="Calibri"/>
        </w:rPr>
        <w:instrText xml:space="preserve"> HYPERLINK "https://docs.aws.amazon.com/rds/" \l "references"</w:instrText>
      </w:r>
      <w:r>
        <w:rPr>
          <w:rStyle w:val="Hyperlink"/>
          <w:sz w:val="20"/>
          <w:i/>
          <w:szCs w:val="20"/>
          <w:iCs/>
          <w:rFonts w:cs="Calibri"/>
        </w:rPr>
        <w:fldChar w:fldCharType="separate"/>
      </w:r>
      <w:r>
        <w:rPr>
          <w:rStyle w:val="Hyperlink"/>
          <w:rFonts w:cs="Calibri"/>
          <w:i/>
          <w:iCs/>
          <w:sz w:val="20"/>
          <w:szCs w:val="20"/>
        </w:rPr>
        <w:t>Performance Insights CLI/API Reference</w:t>
      </w:r>
      <w:r>
        <w:rPr>
          <w:rStyle w:val="Hyperlink"/>
          <w:sz w:val="20"/>
          <w:i/>
          <w:szCs w:val="20"/>
          <w:iCs/>
          <w:rFonts w:cs="Calibri"/>
        </w:rPr>
        <w:fldChar w:fldCharType="end"/>
      </w:r>
      <w:r>
        <w:rPr>
          <w:rFonts w:cs="Calibri"/>
          <w:sz w:val="20"/>
          <w:szCs w:val="20"/>
        </w:rPr>
        <w:t xml:space="preserve">, and </w:t>
      </w:r>
      <w:hyperlink r:id="rId12">
        <w:r>
          <w:rPr>
            <w:rStyle w:val="Hyperlink"/>
            <w:rFonts w:cs="Calibri"/>
            <w:i/>
            <w:iCs/>
            <w:sz w:val="20"/>
            <w:szCs w:val="20"/>
          </w:rPr>
          <w:t>RDS for Oracle Release Notes</w:t>
        </w:r>
      </w:hyperlink>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 xml:space="preserve">Text and help panels for the </w:t>
      </w:r>
      <w:hyperlink r:id="rId13">
        <w:r>
          <w:rPr>
            <w:rStyle w:val="Hyperlink"/>
            <w:rFonts w:cs="Calibri"/>
            <w:sz w:val="20"/>
            <w:szCs w:val="20"/>
          </w:rPr>
          <w:t>RDS console</w:t>
        </w:r>
      </w:hyperlink>
      <w:r>
        <w:rPr>
          <w:rFonts w:cs="Calibri"/>
          <w:sz w:val="20"/>
          <w:szCs w:val="20"/>
        </w:rPr>
        <w:t xml:space="preserve"> and Oracle Database@AWS console</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Alert messages for RDS and Aurora</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Internal doc tools </w:t>
      </w:r>
      <w:r>
        <w:rPr>
          <w:rFonts w:cs="Calibri"/>
          <w:sz w:val="20"/>
          <w:szCs w:val="20"/>
        </w:rPr>
        <w:t>(2020 – 2024)</w:t>
      </w:r>
      <w:r>
        <w:rPr>
          <w:rFonts w:cs="Calibri"/>
          <w:b/>
          <w:sz w:val="20"/>
          <w:szCs w:val="20"/>
        </w:rPr>
        <w:br/>
      </w:r>
      <w:r>
        <w:rPr>
          <w:rFonts w:cs="Calibri"/>
          <w:sz w:val="20"/>
          <w:szCs w:val="20"/>
        </w:rPr>
        <w:t xml:space="preserve">Identified areas of need and created Perl scripts for automating release notes, identifying new features, generating HTML for a subset of a book, and so on. The release notes scripts reduce authoring time </w:t>
      </w:r>
      <w:r>
        <w:rPr>
          <w:rFonts w:cs="Calibri"/>
          <w:sz w:val="20"/>
          <w:szCs w:val="20"/>
        </w:rPr>
        <w:t>by hours each release cycle.</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Content strategy committee </w:t>
      </w:r>
      <w:r>
        <w:rPr>
          <w:rFonts w:cs="Calibri"/>
          <w:sz w:val="20"/>
          <w:szCs w:val="20"/>
        </w:rPr>
        <w:t>(2024)</w:t>
      </w:r>
      <w:r>
        <w:rPr>
          <w:rFonts w:cs="Calibri"/>
          <w:b/>
          <w:sz w:val="20"/>
          <w:szCs w:val="20"/>
        </w:rPr>
        <w:br/>
      </w:r>
      <w:r>
        <w:rPr>
          <w:rFonts w:cs="Calibri"/>
          <w:sz w:val="20"/>
          <w:szCs w:val="20"/>
        </w:rPr>
        <w:t>Organized and led a team dedicated to understanding customer needs and pain points. Researched all relevant UX studies. Created two surveys, one internal and one external, to provide data for suggested improvements to the doc.</w:t>
      </w:r>
    </w:p>
    <w:p>
      <w:pPr>
        <w:pStyle w:val="Normal"/>
        <w:spacing w:lineRule="auto" w:line="240" w:before="0" w:after="0"/>
        <w:rPr>
          <w:rFonts w:cs="Calibri"/>
          <w:b/>
          <w:sz w:val="21"/>
          <w:szCs w:val="21"/>
        </w:rPr>
      </w:pPr>
      <w:r>
        <w:rPr>
          <w:rFonts w:cs="Calibri"/>
          <w:b/>
          <w:sz w:val="21"/>
          <w:szCs w:val="21"/>
        </w:rPr>
      </w:r>
    </w:p>
    <w:p>
      <w:pPr>
        <w:pStyle w:val="Normal"/>
        <w:spacing w:lineRule="auto" w:line="240" w:before="0" w:after="0"/>
        <w:rPr>
          <w:rFonts w:cs="Calibri"/>
          <w:b/>
          <w:sz w:val="21"/>
          <w:szCs w:val="21"/>
        </w:rPr>
      </w:pPr>
      <w:r>
        <w:rPr>
          <w:rFonts w:cs="Calibri"/>
          <w:b/>
          <w:sz w:val="21"/>
          <w:szCs w:val="21"/>
        </w:rPr>
      </w:r>
      <w:r>
        <w:br w:type="page"/>
      </w:r>
    </w:p>
    <w:p>
      <w:pPr>
        <w:pStyle w:val="Normal"/>
        <w:tabs>
          <w:tab w:val="clear" w:pos="720"/>
          <w:tab w:val="left" w:pos="7920" w:leader="none"/>
        </w:tabs>
        <w:spacing w:before="0" w:after="0"/>
        <w:rPr>
          <w:rFonts w:cs="Calibri"/>
          <w:b/>
          <w:sz w:val="21"/>
          <w:szCs w:val="21"/>
        </w:rPr>
      </w:pPr>
      <w:r>
        <w:rPr>
          <w:rFonts w:cs="Calibri"/>
          <w:b/>
          <w:sz w:val="21"/>
          <w:szCs w:val="21"/>
        </w:rPr>
        <w:t>ORACLE CORPORATION</w:t>
      </w:r>
      <w:r>
        <w:rPr>
          <w:rFonts w:cs="Calibri"/>
          <w:b/>
          <w:sz w:val="20"/>
          <w:szCs w:val="20"/>
        </w:rPr>
        <w:t>—REDWOOD SHORES, CA</w:t>
      </w:r>
      <w:r>
        <w:rPr>
          <w:rFonts w:cs="Calibri"/>
          <w:sz w:val="21"/>
          <w:szCs w:val="21"/>
        </w:rPr>
        <w:t xml:space="preserve">                                                                         </w:t>
      </w:r>
      <w:r>
        <w:rPr>
          <w:rFonts w:cs="Calibri"/>
          <w:b/>
          <w:sz w:val="20"/>
          <w:szCs w:val="20"/>
        </w:rPr>
        <w:t xml:space="preserve">                     </w:t>
      </w:r>
      <w:r>
        <w:rPr>
          <w:rFonts w:cs="Calibri"/>
          <w:b/>
          <w:sz w:val="21"/>
          <w:szCs w:val="21"/>
        </w:rPr>
        <w:t>1998 – 2002; 2004 – 2020</w:t>
        <w:br/>
        <w:t>Consulting user assistance developer in Server Technologies</w:t>
      </w:r>
    </w:p>
    <w:p>
      <w:pPr>
        <w:pStyle w:val="Normal"/>
        <w:tabs>
          <w:tab w:val="clear" w:pos="720"/>
          <w:tab w:val="left" w:pos="9270" w:leader="none"/>
        </w:tabs>
        <w:spacing w:before="0" w:after="120"/>
        <w:ind w:start="720"/>
        <w:rPr>
          <w:rFonts w:cs="Calibri"/>
          <w:b/>
          <w:sz w:val="20"/>
          <w:szCs w:val="20"/>
        </w:rPr>
      </w:pPr>
      <w:r>
        <w:rPr>
          <w:rFonts w:cs="Calibri"/>
          <w:b/>
          <w:sz w:val="20"/>
          <w:szCs w:val="20"/>
        </w:rPr>
        <w:br/>
        <w:t>Database performance documentation</w:t>
      </w:r>
      <w:r>
        <w:rPr>
          <w:rFonts w:cs="Calibri"/>
          <w:sz w:val="20"/>
          <w:szCs w:val="20"/>
        </w:rPr>
        <w:t xml:space="preserve"> (2007 – 2020)</w:t>
        <w:br/>
        <w:t>Co-leader and then lead writer for database performance documentation.</w:t>
      </w:r>
      <w:r>
        <w:rPr>
          <w:rFonts w:cs="Calibri"/>
          <w:b/>
          <w:sz w:val="20"/>
          <w:szCs w:val="20"/>
        </w:rPr>
        <w:t xml:space="preserve"> </w:t>
      </w:r>
      <w:r>
        <w:rPr>
          <w:rFonts w:cs="Calibri"/>
          <w:sz w:val="20"/>
          <w:szCs w:val="20"/>
        </w:rPr>
        <w:t>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Database SQL Tuning Guide</w:t>
      </w:r>
      <w:r>
        <w:rPr>
          <w:rFonts w:cs="Calibri"/>
          <w:sz w:val="20"/>
          <w:szCs w:val="20"/>
        </w:rPr>
        <w:t xml:space="preserve"> (</w:t>
      </w:r>
      <w:hyperlink r:id="rId14">
        <w:r>
          <w:rPr>
            <w:rStyle w:val="Hyperlink"/>
            <w:rFonts w:cs="Calibri"/>
            <w:sz w:val="20"/>
            <w:szCs w:val="20"/>
          </w:rPr>
          <w:t>12.1</w:t>
        </w:r>
      </w:hyperlink>
      <w:r>
        <w:rPr>
          <w:rFonts w:cs="Calibri"/>
          <w:sz w:val="20"/>
          <w:szCs w:val="20"/>
        </w:rPr>
        <w:t xml:space="preserve">, </w:t>
      </w:r>
      <w:hyperlink r:id="rId15">
        <w:r>
          <w:rPr>
            <w:rStyle w:val="Hyperlink"/>
            <w:rFonts w:cs="Calibri"/>
            <w:sz w:val="20"/>
            <w:szCs w:val="20"/>
          </w:rPr>
          <w:t>12.2</w:t>
        </w:r>
      </w:hyperlink>
      <w:r>
        <w:rPr>
          <w:rFonts w:cs="Calibri"/>
          <w:sz w:val="20"/>
          <w:szCs w:val="20"/>
        </w:rPr>
        <w:t xml:space="preserve">, </w:t>
      </w:r>
      <w:hyperlink r:id="rId16">
        <w:r>
          <w:rPr>
            <w:rStyle w:val="Hyperlink"/>
            <w:rFonts w:cs="Calibri"/>
            <w:sz w:val="20"/>
            <w:szCs w:val="20"/>
          </w:rPr>
          <w:t>18c</w:t>
        </w:r>
      </w:hyperlink>
      <w:r>
        <w:rPr>
          <w:rFonts w:cs="Calibri"/>
          <w:sz w:val="20"/>
          <w:szCs w:val="20"/>
        </w:rPr>
        <w:t xml:space="preserve">, </w:t>
      </w:r>
      <w:hyperlink r:id="rId17">
        <w:r>
          <w:rPr>
            <w:rStyle w:val="Hyperlink"/>
            <w:rFonts w:cs="Calibri"/>
            <w:sz w:val="20"/>
            <w:szCs w:val="20"/>
          </w:rPr>
          <w:t>19c</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Database In-Memory Guide</w:t>
      </w:r>
      <w:r>
        <w:rPr>
          <w:rFonts w:cs="Calibri"/>
          <w:sz w:val="20"/>
          <w:szCs w:val="20"/>
        </w:rPr>
        <w:t xml:space="preserve"> (wrote from scratch; </w:t>
      </w:r>
      <w:hyperlink r:id="rId18">
        <w:r>
          <w:rPr>
            <w:rStyle w:val="Hyperlink"/>
            <w:rFonts w:cs="Calibri"/>
            <w:sz w:val="20"/>
            <w:szCs w:val="20"/>
          </w:rPr>
          <w:t>12.2</w:t>
        </w:r>
      </w:hyperlink>
      <w:r>
        <w:rPr>
          <w:rFonts w:cs="Calibri"/>
          <w:sz w:val="20"/>
          <w:szCs w:val="20"/>
        </w:rPr>
        <w:t xml:space="preserve">, </w:t>
      </w:r>
      <w:hyperlink r:id="rId19">
        <w:r>
          <w:rPr>
            <w:rStyle w:val="Hyperlink"/>
            <w:rFonts w:cs="Calibri"/>
            <w:sz w:val="20"/>
            <w:szCs w:val="20"/>
          </w:rPr>
          <w:t>18c</w:t>
        </w:r>
      </w:hyperlink>
      <w:r>
        <w:rPr>
          <w:rFonts w:cs="Calibri"/>
          <w:sz w:val="20"/>
          <w:szCs w:val="20"/>
        </w:rPr>
        <w:t xml:space="preserve">, </w:t>
      </w:r>
      <w:hyperlink r:id="rId20">
        <w:r>
          <w:rPr>
            <w:rStyle w:val="Hyperlink"/>
            <w:rFonts w:cs="Calibri"/>
            <w:sz w:val="20"/>
            <w:szCs w:val="20"/>
          </w:rPr>
          <w:t>19c</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Verifying In-Memory Access</w:t>
      </w:r>
      <w:r>
        <w:rPr>
          <w:rFonts w:cs="Calibri"/>
          <w:sz w:val="20"/>
          <w:szCs w:val="20"/>
        </w:rPr>
        <w:t xml:space="preserve"> Oracle by Example tutorial (</w:t>
      </w:r>
      <w:hyperlink r:id="rId21">
        <w:r>
          <w:rPr>
            <w:rStyle w:val="Hyperlink"/>
            <w:rFonts w:cs="Calibri"/>
            <w:sz w:val="20"/>
            <w:szCs w:val="20"/>
          </w:rPr>
          <w:t>18c</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hyperlink r:id="rId22">
        <w:r>
          <w:rPr>
            <w:rStyle w:val="Hyperlink"/>
            <w:rFonts w:cs="Calibri"/>
            <w:i/>
            <w:sz w:val="20"/>
            <w:szCs w:val="20"/>
          </w:rPr>
          <w:t>Enhanced Optimizer Statistics</w:t>
        </w:r>
      </w:hyperlink>
      <w:r>
        <w:rPr>
          <w:rFonts w:cs="Calibri"/>
          <w:sz w:val="20"/>
          <w:szCs w:val="20"/>
        </w:rPr>
        <w:t xml:space="preserve"> and </w:t>
      </w:r>
      <w:hyperlink r:id="rId23">
        <w:r>
          <w:rPr>
            <w:rStyle w:val="Hyperlink"/>
            <w:rFonts w:cs="Calibri"/>
            <w:i/>
            <w:sz w:val="20"/>
            <w:szCs w:val="20"/>
          </w:rPr>
          <w:t>Adaptive Execution Plans</w:t>
        </w:r>
      </w:hyperlink>
      <w:r>
        <w:rPr>
          <w:rFonts w:cs="Calibri"/>
          <w:sz w:val="20"/>
          <w:szCs w:val="20"/>
        </w:rPr>
        <w:t xml:space="preserve"> videos (co-created with Tom Kyte for release 12c)</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2 Day + Performance Guide</w:t>
      </w:r>
      <w:r>
        <w:rPr>
          <w:rFonts w:cs="Calibri"/>
          <w:sz w:val="20"/>
          <w:szCs w:val="20"/>
        </w:rPr>
        <w:t xml:space="preserve"> (co-writer; </w:t>
      </w:r>
      <w:hyperlink r:id="rId24">
        <w:r>
          <w:rPr>
            <w:rStyle w:val="Hyperlink"/>
            <w:rFonts w:cs="Calibri"/>
            <w:sz w:val="20"/>
            <w:szCs w:val="20"/>
          </w:rPr>
          <w:t>11.1</w:t>
        </w:r>
      </w:hyperlink>
      <w:r>
        <w:rPr>
          <w:rFonts w:cs="Calibri"/>
          <w:sz w:val="20"/>
          <w:szCs w:val="20"/>
        </w:rPr>
        <w:t xml:space="preserve">, </w:t>
      </w:r>
      <w:hyperlink r:id="rId25">
        <w:r>
          <w:rPr>
            <w:rStyle w:val="Hyperlink"/>
            <w:rFonts w:cs="Calibri"/>
            <w:sz w:val="20"/>
            <w:szCs w:val="20"/>
          </w:rPr>
          <w:t>11.2</w:t>
        </w:r>
      </w:hyperlink>
      <w:r>
        <w:rPr>
          <w:rFonts w:cs="Calibri"/>
          <w:sz w:val="20"/>
          <w:szCs w:val="20"/>
        </w:rPr>
        <w:t xml:space="preserve">, and </w:t>
      </w:r>
      <w:hyperlink r:id="rId26">
        <w:r>
          <w:rPr>
            <w:rStyle w:val="Hyperlink"/>
            <w:rFonts w:cs="Calibri"/>
            <w:sz w:val="20"/>
            <w:szCs w:val="20"/>
          </w:rPr>
          <w:t>12.1</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Reference documentation for PL/SQL packages: DBMS_SQLTUNE, DBMS_ADVISOR, DBMS_INMEMORY, and DBMS_INMEMORY_ADMIN (</w:t>
      </w:r>
      <w:hyperlink r:id="rId27">
        <w:r>
          <w:rPr>
            <w:rStyle w:val="Hyperlink"/>
            <w:rFonts w:cs="Calibri"/>
            <w:sz w:val="20"/>
            <w:szCs w:val="20"/>
          </w:rPr>
          <w:t>12.1</w:t>
        </w:r>
      </w:hyperlink>
      <w:r>
        <w:rPr>
          <w:rFonts w:cs="Calibri"/>
          <w:sz w:val="20"/>
          <w:szCs w:val="20"/>
        </w:rPr>
        <w:t xml:space="preserve">; </w:t>
      </w:r>
      <w:hyperlink r:id="rId28">
        <w:r>
          <w:rPr>
            <w:rStyle w:val="Hyperlink"/>
            <w:rFonts w:cs="Calibri"/>
            <w:sz w:val="20"/>
            <w:szCs w:val="20"/>
          </w:rPr>
          <w:t>12.2</w:t>
        </w:r>
      </w:hyperlink>
      <w:r>
        <w:rPr>
          <w:rFonts w:cs="Calibri"/>
          <w:sz w:val="20"/>
          <w:szCs w:val="20"/>
        </w:rPr>
        <w:t xml:space="preserve">, </w:t>
      </w:r>
      <w:hyperlink r:id="rId29">
        <w:r>
          <w:rPr>
            <w:rStyle w:val="Hyperlink"/>
            <w:rFonts w:cs="Calibri"/>
            <w:sz w:val="20"/>
            <w:szCs w:val="20"/>
          </w:rPr>
          <w:t>18c</w:t>
        </w:r>
      </w:hyperlink>
      <w:r>
        <w:rPr>
          <w:rFonts w:cs="Calibri"/>
          <w:sz w:val="20"/>
          <w:szCs w:val="20"/>
        </w:rPr>
        <w:t xml:space="preserve">, </w:t>
      </w:r>
      <w:hyperlink r:id="rId30">
        <w:r>
          <w:rPr>
            <w:rStyle w:val="Hyperlink"/>
            <w:rFonts w:cs="Calibri"/>
            <w:sz w:val="20"/>
            <w:szCs w:val="20"/>
          </w:rPr>
          <w:t>19c</w:t>
        </w:r>
      </w:hyperlink>
      <w:r>
        <w:rPr>
          <w:rFonts w:cs="Calibri"/>
          <w:sz w:val="20"/>
          <w:szCs w:val="20"/>
        </w:rPr>
        <w:t>)</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Database Concepts rewrite </w:t>
      </w:r>
      <w:r>
        <w:rPr>
          <w:rFonts w:cs="Calibri"/>
          <w:sz w:val="20"/>
          <w:szCs w:val="20"/>
        </w:rPr>
        <w:t>(2007 – 2020)</w:t>
      </w:r>
      <w:r>
        <w:rPr>
          <w:rFonts w:cs="Calibri"/>
          <w:b/>
          <w:sz w:val="20"/>
          <w:szCs w:val="20"/>
        </w:rPr>
        <w:br/>
      </w:r>
      <w:r>
        <w:rPr>
          <w:rFonts w:cs="Calibri"/>
          <w:sz w:val="20"/>
          <w:szCs w:val="20"/>
        </w:rPr>
        <w:t xml:space="preserve">Volunteered to be lead writer for an overhaul of </w:t>
      </w:r>
      <w:r>
        <w:rPr>
          <w:rFonts w:cs="Calibri"/>
          <w:i/>
          <w:sz w:val="20"/>
          <w:szCs w:val="20"/>
        </w:rPr>
        <w:t>Database Concepts</w:t>
      </w:r>
      <w:r>
        <w:rPr>
          <w:rFonts w:cs="Calibri"/>
          <w:sz w:val="20"/>
          <w:szCs w:val="20"/>
        </w:rPr>
        <w:t xml:space="preserve"> in 11.2 initiated by Tom Kyte and Mark Townsend. In effect, I wrote a new 472p book for Oracle Database </w:t>
      </w:r>
      <w:hyperlink r:id="rId31">
        <w:r>
          <w:rPr>
            <w:rStyle w:val="Hyperlink"/>
            <w:rFonts w:cs="Calibri"/>
            <w:sz w:val="20"/>
            <w:szCs w:val="20"/>
          </w:rPr>
          <w:t>11.2</w:t>
        </w:r>
      </w:hyperlink>
      <w:r>
        <w:rPr>
          <w:rFonts w:cs="Calibri"/>
          <w:sz w:val="20"/>
          <w:szCs w:val="20"/>
        </w:rPr>
        <w:t xml:space="preserve"> from scratch. I updated this manual for </w:t>
      </w:r>
      <w:hyperlink r:id="rId32">
        <w:r>
          <w:rPr>
            <w:rStyle w:val="Hyperlink"/>
            <w:rFonts w:cs="Calibri"/>
            <w:sz w:val="20"/>
            <w:szCs w:val="20"/>
          </w:rPr>
          <w:t>12.1</w:t>
        </w:r>
      </w:hyperlink>
      <w:r>
        <w:rPr>
          <w:rFonts w:cs="Calibri"/>
          <w:sz w:val="20"/>
          <w:szCs w:val="20"/>
        </w:rPr>
        <w:t xml:space="preserve">, </w:t>
      </w:r>
      <w:hyperlink r:id="rId33">
        <w:r>
          <w:rPr>
            <w:rStyle w:val="Hyperlink"/>
            <w:rFonts w:cs="Calibri"/>
            <w:sz w:val="20"/>
            <w:szCs w:val="20"/>
          </w:rPr>
          <w:t>12.2</w:t>
        </w:r>
      </w:hyperlink>
      <w:r>
        <w:rPr>
          <w:rFonts w:cs="Calibri"/>
          <w:sz w:val="20"/>
          <w:szCs w:val="20"/>
        </w:rPr>
        <w:t xml:space="preserve">, and </w:t>
      </w:r>
      <w:hyperlink r:id="rId34">
        <w:r>
          <w:rPr>
            <w:rStyle w:val="Hyperlink"/>
            <w:rFonts w:cs="Calibri"/>
            <w:sz w:val="20"/>
            <w:szCs w:val="20"/>
          </w:rPr>
          <w:t>19c</w:t>
        </w:r>
      </w:hyperlink>
      <w:r>
        <w:rPr>
          <w:rFonts w:cs="Calibri"/>
          <w:sz w:val="20"/>
          <w:szCs w:val="20"/>
        </w:rPr>
        <w:t>.</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Internal doc tools </w:t>
      </w:r>
      <w:r>
        <w:rPr>
          <w:rFonts w:cs="Calibri"/>
          <w:sz w:val="20"/>
          <w:szCs w:val="20"/>
        </w:rPr>
        <w:t>(2010 – 2020)</w:t>
      </w:r>
      <w:r>
        <w:rPr>
          <w:rFonts w:cs="Calibri"/>
          <w:b/>
          <w:sz w:val="20"/>
          <w:szCs w:val="20"/>
        </w:rPr>
        <w:br/>
      </w:r>
      <w:r>
        <w:rPr>
          <w:rFonts w:cs="Calibri"/>
          <w:sz w:val="20"/>
          <w:szCs w:val="20"/>
        </w:rPr>
        <w:t xml:space="preserve">Wrote and maintained shell and Perl scripts used for internal testing. Key member of team that researched and implemented Subversion (SVN) for source control. Wrote internal SVN doc and provided support. Collaborated in researching and testing DITA Open Toolkit. </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Zero Data Loss Recovery Appliance documentation </w:t>
      </w:r>
      <w:r>
        <w:rPr>
          <w:rFonts w:cs="Calibri"/>
          <w:sz w:val="20"/>
          <w:szCs w:val="20"/>
        </w:rPr>
        <w:t>(2014 – 2015)</w:t>
      </w:r>
      <w:r>
        <w:rPr>
          <w:rFonts w:cs="Calibri"/>
          <w:b/>
          <w:sz w:val="20"/>
          <w:szCs w:val="20"/>
        </w:rPr>
        <w:br/>
      </w:r>
      <w:r>
        <w:rPr>
          <w:rFonts w:cs="Calibri"/>
          <w:sz w:val="20"/>
          <w:szCs w:val="20"/>
        </w:rPr>
        <w:t>Assigned as lead writer for initial release of Oracle Recovery Appliance. Created internal sites and mailing lists, coordinated multiple writers, wrote a new book from scratch, generated reference doc from source code, updated scripts to pull doc from course code, and onboarded a new writer to take over the documentation.</w:t>
      </w:r>
      <w:r>
        <w:rPr>
          <w:rFonts w:cs="Calibri"/>
          <w:b/>
          <w:sz w:val="20"/>
          <w:szCs w:val="20"/>
        </w:rPr>
        <w:t xml:space="preserve"> </w:t>
      </w:r>
      <w:r>
        <w:rPr>
          <w:rFonts w:cs="Calibri"/>
          <w:sz w:val="20"/>
          <w:szCs w:val="20"/>
        </w:rPr>
        <w:t>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Zero Data Loss Recovery Appliance Administrator’s Guide</w:t>
      </w:r>
      <w:r>
        <w:rPr>
          <w:rFonts w:cs="Calibri"/>
          <w:sz w:val="20"/>
          <w:szCs w:val="20"/>
        </w:rPr>
        <w:t xml:space="preserve"> (wrote from scratch; </w:t>
      </w:r>
      <w:hyperlink r:id="rId35">
        <w:r>
          <w:rPr>
            <w:rStyle w:val="Hyperlink"/>
            <w:rFonts w:cs="Calibri"/>
            <w:sz w:val="20"/>
            <w:szCs w:val="20"/>
          </w:rPr>
          <w:t>12.1</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Zero Data Loss Recovery Appliance Master Glossary</w:t>
      </w:r>
      <w:r>
        <w:rPr>
          <w:rFonts w:cs="Calibri"/>
          <w:sz w:val="20"/>
          <w:szCs w:val="20"/>
        </w:rPr>
        <w:t xml:space="preserve"> (wrote from scratch; </w:t>
      </w:r>
      <w:hyperlink r:id="rId36">
        <w:r>
          <w:rPr>
            <w:rStyle w:val="Hyperlink"/>
            <w:rFonts w:cs="Calibri"/>
            <w:sz w:val="20"/>
            <w:szCs w:val="20"/>
          </w:rPr>
          <w:t>12.1</w:t>
        </w:r>
      </w:hyperlink>
      <w:r>
        <w:rPr>
          <w:rFonts w:cs="Calibri"/>
          <w:sz w:val="20"/>
          <w:szCs w:val="20"/>
        </w:rPr>
        <w:t>)</w:t>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Backup and recovery documentation </w:t>
      </w:r>
      <w:r>
        <w:rPr>
          <w:rFonts w:cs="Calibri"/>
          <w:sz w:val="20"/>
          <w:szCs w:val="20"/>
        </w:rPr>
        <w:t>(2005 – 2008)</w:t>
      </w:r>
      <w:r>
        <w:rPr>
          <w:rFonts w:cs="Calibri"/>
          <w:b/>
          <w:sz w:val="20"/>
          <w:szCs w:val="20"/>
        </w:rPr>
        <w:br/>
      </w:r>
      <w:r>
        <w:rPr>
          <w:sz w:val="20"/>
          <w:szCs w:val="20"/>
        </w:rPr>
        <w:t>Assigned to create documentation set for new product: Oracle Secure Backup. Requisitioned and operated tape drives and tape libraries. Took temporary ownership of the backup and recovery documentation, which I consolidated into two books. Onboarded a new writer to take over the documentation.</w:t>
      </w:r>
      <w:r>
        <w:rPr>
          <w:rFonts w:cs="Calibri"/>
          <w:sz w:val="20"/>
          <w:szCs w:val="20"/>
        </w:rPr>
        <w:t xml:space="preserve"> 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r>
        <w:rPr>
          <w:i/>
          <w:sz w:val="20"/>
          <w:szCs w:val="20"/>
        </w:rPr>
        <w:t>Oracle Secure Backup Administrator’s Guide</w:t>
      </w:r>
      <w:r>
        <w:rPr>
          <w:sz w:val="20"/>
          <w:szCs w:val="20"/>
        </w:rPr>
        <w:t xml:space="preserve"> (</w:t>
      </w:r>
      <w:hyperlink r:id="rId37">
        <w:r>
          <w:rPr>
            <w:rStyle w:val="Hyperlink"/>
            <w:sz w:val="20"/>
            <w:szCs w:val="20"/>
          </w:rPr>
          <w:t>10.1</w:t>
        </w:r>
      </w:hyperlink>
      <w:r>
        <w:rPr>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i/>
          <w:sz w:val="20"/>
          <w:szCs w:val="20"/>
        </w:rPr>
        <w:t>Oracle Secure Backup Installation Guide</w:t>
      </w:r>
      <w:r>
        <w:rPr>
          <w:sz w:val="20"/>
          <w:szCs w:val="20"/>
        </w:rPr>
        <w:t xml:space="preserve"> (</w:t>
      </w:r>
      <w:hyperlink r:id="rId38">
        <w:r>
          <w:rPr>
            <w:rStyle w:val="Hyperlink"/>
            <w:sz w:val="20"/>
            <w:szCs w:val="20"/>
          </w:rPr>
          <w:t>10.1</w:t>
        </w:r>
      </w:hyperlink>
      <w:r>
        <w:rPr>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Secure Backup Reference</w:t>
      </w:r>
      <w:r>
        <w:rPr>
          <w:rFonts w:cs="Calibri"/>
          <w:sz w:val="20"/>
          <w:szCs w:val="20"/>
        </w:rPr>
        <w:t xml:space="preserve"> (</w:t>
      </w:r>
      <w:hyperlink r:id="rId39">
        <w:r>
          <w:rPr>
            <w:rStyle w:val="Hyperlink"/>
            <w:rFonts w:cs="Calibri"/>
            <w:sz w:val="20"/>
            <w:szCs w:val="20"/>
          </w:rPr>
          <w:t>10.1</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Secure Backup Migration Guide</w:t>
      </w:r>
      <w:r>
        <w:rPr>
          <w:rFonts w:cs="Calibri"/>
          <w:sz w:val="20"/>
          <w:szCs w:val="20"/>
        </w:rPr>
        <w:t xml:space="preserve"> (</w:t>
      </w:r>
      <w:hyperlink r:id="rId40">
        <w:r>
          <w:rPr>
            <w:rStyle w:val="Hyperlink"/>
            <w:rFonts w:cs="Calibri"/>
            <w:sz w:val="20"/>
            <w:szCs w:val="20"/>
          </w:rPr>
          <w:t>10.1</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Backup and Recovery User’s Guide</w:t>
      </w:r>
      <w:r>
        <w:rPr>
          <w:rFonts w:cs="Calibri"/>
          <w:sz w:val="20"/>
          <w:szCs w:val="20"/>
        </w:rPr>
        <w:t xml:space="preserve"> (</w:t>
      </w:r>
      <w:hyperlink r:id="rId41">
        <w:r>
          <w:rPr>
            <w:rStyle w:val="Hyperlink"/>
            <w:rFonts w:cs="Calibri"/>
            <w:sz w:val="20"/>
            <w:szCs w:val="20"/>
          </w:rPr>
          <w:t>11.1</w:t>
        </w:r>
      </w:hyperlink>
      <w:r>
        <w:rPr>
          <w:rFonts w:cs="Calibri"/>
          <w:sz w:val="20"/>
          <w:szCs w:val="20"/>
        </w:rPr>
        <w:t xml:space="preserve">) and </w:t>
      </w:r>
      <w:r>
        <w:rPr>
          <w:rFonts w:cs="Calibri"/>
          <w:i/>
          <w:sz w:val="20"/>
          <w:szCs w:val="20"/>
        </w:rPr>
        <w:t>Backup and Recovery Reference</w:t>
      </w:r>
      <w:r>
        <w:rPr>
          <w:rFonts w:cs="Calibri"/>
          <w:sz w:val="20"/>
          <w:szCs w:val="20"/>
        </w:rPr>
        <w:t xml:space="preserve"> (</w:t>
      </w:r>
      <w:hyperlink r:id="rId42">
        <w:r>
          <w:rPr>
            <w:rStyle w:val="Hyperlink"/>
            <w:rFonts w:cs="Calibri"/>
            <w:sz w:val="20"/>
            <w:szCs w:val="20"/>
          </w:rPr>
          <w:t>11.1</w:t>
        </w:r>
      </w:hyperlink>
      <w:r>
        <w:rPr>
          <w:rFonts w:cs="Calibri"/>
          <w:sz w:val="20"/>
          <w:szCs w:val="20"/>
        </w:rPr>
        <w:t>)</w:t>
      </w:r>
    </w:p>
    <w:p>
      <w:pPr>
        <w:pStyle w:val="Normal"/>
        <w:tabs>
          <w:tab w:val="clear" w:pos="720"/>
          <w:tab w:val="left" w:pos="9270" w:leader="none"/>
        </w:tabs>
        <w:spacing w:before="120" w:after="120"/>
        <w:ind w:start="720"/>
        <w:rPr>
          <w:rFonts w:cs="Calibri"/>
          <w:b/>
          <w:sz w:val="20"/>
          <w:szCs w:val="20"/>
        </w:rPr>
      </w:pPr>
      <w:r>
        <w:rPr>
          <w:rFonts w:cs="Calibri"/>
          <w:b/>
          <w:sz w:val="20"/>
          <w:szCs w:val="20"/>
        </w:rPr>
        <w:t xml:space="preserve">Application development documentation </w:t>
      </w:r>
      <w:r>
        <w:rPr>
          <w:rFonts w:cs="Calibri"/>
          <w:sz w:val="20"/>
          <w:szCs w:val="20"/>
        </w:rPr>
        <w:t>(2004 – 2005)</w:t>
      </w:r>
      <w:r>
        <w:rPr>
          <w:rFonts w:cs="Calibri"/>
          <w:b/>
          <w:sz w:val="20"/>
          <w:szCs w:val="20"/>
        </w:rPr>
        <w:br/>
      </w:r>
      <w:r>
        <w:rPr>
          <w:sz w:val="20"/>
          <w:szCs w:val="20"/>
        </w:rPr>
        <w:t>Worked in application development group. Inherited and vastly improved two problematic legacy books. The XDK manual required extensive commentary on Java sample programs.</w:t>
      </w:r>
      <w:r>
        <w:rPr>
          <w:rFonts w:cs="Calibri"/>
          <w:b/>
          <w:sz w:val="20"/>
          <w:szCs w:val="20"/>
        </w:rPr>
        <w:t xml:space="preserve"> </w:t>
      </w:r>
      <w:r>
        <w:rPr>
          <w:rFonts w:cs="Calibri"/>
          <w:sz w:val="20"/>
          <w:szCs w:val="20"/>
        </w:rPr>
        <w:t>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r>
        <w:rPr>
          <w:i/>
          <w:sz w:val="20"/>
          <w:szCs w:val="20"/>
        </w:rPr>
        <w:t>Oracle XML Developer’s Kit Programmer’s Guide</w:t>
      </w:r>
      <w:r>
        <w:rPr>
          <w:sz w:val="20"/>
          <w:szCs w:val="20"/>
        </w:rPr>
        <w:t xml:space="preserve"> (</w:t>
      </w:r>
      <w:hyperlink r:id="rId43">
        <w:r>
          <w:rPr>
            <w:rStyle w:val="Hyperlink"/>
            <w:sz w:val="20"/>
            <w:szCs w:val="20"/>
          </w:rPr>
          <w:t>10.2</w:t>
        </w:r>
      </w:hyperlink>
      <w:r>
        <w:rPr>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Database Application Developer’s Guide - Fundamentals</w:t>
      </w:r>
      <w:r>
        <w:rPr>
          <w:rFonts w:cs="Calibri"/>
          <w:sz w:val="20"/>
          <w:szCs w:val="20"/>
        </w:rPr>
        <w:t xml:space="preserve"> (</w:t>
      </w:r>
      <w:hyperlink r:id="rId44">
        <w:r>
          <w:rPr>
            <w:rStyle w:val="Hyperlink"/>
            <w:rFonts w:cs="Calibri"/>
            <w:sz w:val="20"/>
            <w:szCs w:val="20"/>
          </w:rPr>
          <w:t>10.2</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 Database XML Java API Reference</w:t>
      </w:r>
      <w:r>
        <w:rPr>
          <w:rFonts w:cs="Calibri"/>
          <w:sz w:val="20"/>
          <w:szCs w:val="20"/>
        </w:rPr>
        <w:t xml:space="preserve"> (</w:t>
      </w:r>
      <w:hyperlink r:id="rId45">
        <w:r>
          <w:rPr>
            <w:rStyle w:val="Hyperlink"/>
            <w:rFonts w:cs="Calibri"/>
            <w:sz w:val="20"/>
            <w:szCs w:val="20"/>
          </w:rPr>
          <w:t>10.2</w:t>
        </w:r>
      </w:hyperlink>
      <w:r>
        <w:rPr>
          <w:rFonts w:cs="Calibri"/>
          <w:sz w:val="20"/>
          <w:szCs w:val="20"/>
        </w:rPr>
        <w:t>)</w:t>
      </w:r>
    </w:p>
    <w:p>
      <w:pPr>
        <w:pStyle w:val="Normal"/>
        <w:tabs>
          <w:tab w:val="clear" w:pos="720"/>
          <w:tab w:val="left" w:pos="9270" w:leader="none"/>
        </w:tabs>
        <w:spacing w:before="120" w:after="120"/>
        <w:ind w:start="720"/>
        <w:rPr>
          <w:rFonts w:cs="Calibri"/>
          <w:b/>
          <w:sz w:val="20"/>
          <w:szCs w:val="20"/>
        </w:rPr>
      </w:pPr>
      <w:r>
        <w:rPr>
          <w:rFonts w:cs="Calibri"/>
          <w:b/>
          <w:sz w:val="20"/>
          <w:szCs w:val="20"/>
        </w:rPr>
        <w:t xml:space="preserve">Distributed database documentation </w:t>
      </w:r>
      <w:r>
        <w:rPr>
          <w:rFonts w:cs="Calibri"/>
          <w:sz w:val="20"/>
          <w:szCs w:val="20"/>
        </w:rPr>
        <w:t>(1999 – 2000)</w:t>
      </w:r>
      <w:r>
        <w:rPr>
          <w:rFonts w:cs="Calibri"/>
          <w:b/>
          <w:sz w:val="20"/>
          <w:szCs w:val="20"/>
        </w:rPr>
        <w:br/>
      </w:r>
      <w:r>
        <w:rPr>
          <w:sz w:val="20"/>
          <w:szCs w:val="20"/>
        </w:rPr>
        <w:t xml:space="preserve">Took ownership of and revised </w:t>
      </w:r>
      <w:r>
        <w:rPr>
          <w:i/>
          <w:sz w:val="20"/>
          <w:szCs w:val="20"/>
        </w:rPr>
        <w:t>Oracle8i Distributed Database Systems</w:t>
      </w:r>
      <w:r>
        <w:rPr>
          <w:sz w:val="20"/>
          <w:szCs w:val="20"/>
        </w:rPr>
        <w:t xml:space="preserve"> (</w:t>
      </w:r>
      <w:hyperlink r:id="rId46">
        <w:r>
          <w:rPr>
            <w:rStyle w:val="Hyperlink"/>
            <w:sz w:val="20"/>
            <w:szCs w:val="20"/>
          </w:rPr>
          <w:t>8.1.6</w:t>
        </w:r>
      </w:hyperlink>
      <w:r>
        <w:rPr>
          <w:sz w:val="20"/>
          <w:szCs w:val="20"/>
        </w:rPr>
        <w:t>).</w:t>
      </w:r>
      <w:r>
        <w:rPr>
          <w:rFonts w:cs="Calibri"/>
          <w:sz w:val="20"/>
          <w:szCs w:val="20"/>
        </w:rPr>
        <w:t xml:space="preserve"> </w:t>
        <w:br/>
        <w:br/>
      </w:r>
    </w:p>
    <w:p>
      <w:pPr>
        <w:pStyle w:val="Normal"/>
        <w:tabs>
          <w:tab w:val="clear" w:pos="720"/>
          <w:tab w:val="left" w:pos="9270" w:leader="none"/>
        </w:tabs>
        <w:spacing w:before="120" w:after="120"/>
        <w:ind w:start="720"/>
        <w:rPr>
          <w:rFonts w:cs="Calibri"/>
          <w:sz w:val="20"/>
          <w:szCs w:val="20"/>
        </w:rPr>
      </w:pPr>
      <w:r>
        <w:rPr>
          <w:rFonts w:cs="Calibri"/>
          <w:b/>
          <w:sz w:val="20"/>
          <w:szCs w:val="20"/>
        </w:rPr>
        <w:t xml:space="preserve">Backup and recovery documentation </w:t>
      </w:r>
      <w:r>
        <w:rPr>
          <w:rFonts w:cs="Calibri"/>
          <w:sz w:val="20"/>
          <w:szCs w:val="20"/>
        </w:rPr>
        <w:t>(1998 – 2002)</w:t>
      </w:r>
      <w:r>
        <w:rPr>
          <w:rFonts w:cs="Calibri"/>
          <w:b/>
          <w:sz w:val="20"/>
          <w:szCs w:val="20"/>
        </w:rPr>
        <w:br/>
      </w:r>
      <w:r>
        <w:rPr>
          <w:sz w:val="20"/>
          <w:szCs w:val="20"/>
        </w:rPr>
        <w:t xml:space="preserve">Took over the Oracle8 backup and recovery guide and expanded it into a suite of manuals. Created and tested examples, used RMAN daily, and worked closely with developers. Had limited management duties. </w:t>
      </w:r>
      <w:r>
        <w:rPr>
          <w:rFonts w:cs="Calibri"/>
          <w:sz w:val="20"/>
          <w:szCs w:val="20"/>
        </w:rPr>
        <w:t>Wrote the following content: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sz w:val="20"/>
          <w:szCs w:val="20"/>
        </w:rPr>
        <w:t>Backup and recovery documentation set (</w:t>
      </w:r>
      <w:hyperlink r:id="rId47">
        <w:r>
          <w:rPr>
            <w:rStyle w:val="Hyperlink"/>
            <w:rFonts w:cs="Calibri"/>
            <w:sz w:val="20"/>
            <w:szCs w:val="20"/>
          </w:rPr>
          <w:t>8.1</w:t>
        </w:r>
      </w:hyperlink>
      <w:r>
        <w:rPr>
          <w:rFonts w:cs="Calibri"/>
          <w:sz w:val="20"/>
          <w:szCs w:val="20"/>
        </w:rPr>
        <w:t xml:space="preserve">, </w:t>
      </w:r>
      <w:hyperlink r:id="rId48">
        <w:r>
          <w:rPr>
            <w:rStyle w:val="Hyperlink"/>
            <w:rFonts w:cs="Calibri"/>
            <w:sz w:val="20"/>
            <w:szCs w:val="20"/>
          </w:rPr>
          <w:t>9.2</w:t>
        </w:r>
      </w:hyperlink>
      <w:r>
        <w:rPr>
          <w:rFonts w:cs="Calibri"/>
          <w:sz w:val="20"/>
          <w:szCs w:val="20"/>
        </w:rPr>
        <w:t xml:space="preserve">, draft of </w:t>
      </w:r>
      <w:hyperlink r:id="rId49">
        <w:r>
          <w:rPr>
            <w:rStyle w:val="Hyperlink"/>
            <w:rFonts w:cs="Calibri"/>
            <w:sz w:val="20"/>
            <w:szCs w:val="20"/>
          </w:rPr>
          <w:t>10.1</w:t>
        </w:r>
      </w:hyperlink>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 xml:space="preserve">Backup and recovery chapters in </w:t>
      </w:r>
      <w:r>
        <w:rPr>
          <w:i/>
          <w:sz w:val="20"/>
          <w:szCs w:val="20"/>
        </w:rPr>
        <w:t>Oracle9i Real Application Clusters Administration</w:t>
      </w:r>
      <w:r>
        <w:rPr>
          <w:sz w:val="20"/>
          <w:szCs w:val="20"/>
        </w:rPr>
        <w:t xml:space="preserve"> (</w:t>
      </w:r>
      <w:hyperlink r:id="rId50">
        <w:r>
          <w:rPr>
            <w:rStyle w:val="Hyperlink"/>
            <w:sz w:val="20"/>
            <w:szCs w:val="20"/>
          </w:rPr>
          <w:t>9.2</w:t>
        </w:r>
      </w:hyperlink>
      <w:r>
        <w:rPr>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rFonts w:cs="Calibri"/>
          <w:i/>
          <w:sz w:val="20"/>
          <w:szCs w:val="20"/>
        </w:rPr>
        <w:t>Oracle8i Standby Database Concepts and Administration</w:t>
      </w:r>
      <w:r>
        <w:rPr>
          <w:rFonts w:cs="Calibri"/>
          <w:sz w:val="20"/>
          <w:szCs w:val="20"/>
        </w:rPr>
        <w:t xml:space="preserve"> (new book for </w:t>
      </w:r>
      <w:hyperlink r:id="rId51">
        <w:r>
          <w:rPr>
            <w:rStyle w:val="Hyperlink"/>
            <w:rFonts w:cs="Calibri"/>
            <w:sz w:val="20"/>
            <w:szCs w:val="20"/>
          </w:rPr>
          <w:t>8.1</w:t>
        </w:r>
      </w:hyperlink>
      <w:r>
        <w:rPr>
          <w:rFonts w:cs="Calibri"/>
          <w:sz w:val="20"/>
          <w:szCs w:val="20"/>
        </w:rPr>
        <w:t>)</w:t>
      </w:r>
    </w:p>
    <w:p>
      <w:pPr>
        <w:pStyle w:val="Normal"/>
        <w:tabs>
          <w:tab w:val="clear" w:pos="720"/>
          <w:tab w:val="left" w:pos="9270" w:leader="none"/>
        </w:tabs>
        <w:spacing w:before="120" w:after="120"/>
        <w:ind w:start="720"/>
        <w:rPr>
          <w:rFonts w:cs="Calibri"/>
          <w:b/>
          <w:sz w:val="20"/>
          <w:szCs w:val="20"/>
        </w:rPr>
      </w:pPr>
      <w:r>
        <w:rPr>
          <w:rFonts w:cs="Calibri"/>
          <w:b/>
          <w:sz w:val="20"/>
          <w:szCs w:val="20"/>
        </w:rPr>
        <w:t xml:space="preserve">Internal tools projects </w:t>
      </w:r>
      <w:r>
        <w:rPr>
          <w:rFonts w:cs="Calibri"/>
          <w:sz w:val="20"/>
          <w:szCs w:val="20"/>
        </w:rPr>
        <w:t>(1998 – 2002)</w:t>
      </w:r>
      <w:r>
        <w:rPr>
          <w:rFonts w:cs="Calibri"/>
          <w:b/>
          <w:sz w:val="20"/>
          <w:szCs w:val="20"/>
        </w:rPr>
        <w:br/>
      </w:r>
      <w:r>
        <w:rPr>
          <w:sz w:val="20"/>
          <w:szCs w:val="20"/>
        </w:rPr>
        <w:t>Participated in the following tools-related projects</w:t>
      </w:r>
      <w:r>
        <w:rPr>
          <w:rFonts w:cs="Calibri"/>
          <w:sz w:val="20"/>
          <w:szCs w:val="20"/>
        </w:rPr>
        <w:t>:</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Created HTMLQA, which was a CGI-based Perl application that checked HTML for conformity to standards; it was adopted by the tools group, modified, and turned into the basis for pre-publication QA checks</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Created SPECDB, which was an internal project database, with a fellow writer</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Acted as the backup and recovery DBA for our internal database</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Wrote tools to assist writers, including scripts to do the following:</w:t>
      </w:r>
    </w:p>
    <w:p>
      <w:pPr>
        <w:pStyle w:val="ListParagraph"/>
        <w:numPr>
          <w:ilvl w:val="1"/>
          <w:numId w:val="1"/>
        </w:numPr>
        <w:tabs>
          <w:tab w:val="clear" w:pos="720"/>
          <w:tab w:val="left" w:pos="8820" w:leader="none"/>
        </w:tabs>
        <w:spacing w:before="0" w:after="0"/>
        <w:contextualSpacing/>
        <w:rPr>
          <w:rFonts w:cs="Calibri"/>
          <w:sz w:val="20"/>
          <w:szCs w:val="20"/>
        </w:rPr>
      </w:pPr>
      <w:r>
        <w:rPr>
          <w:sz w:val="20"/>
          <w:szCs w:val="20"/>
        </w:rPr>
        <w:t>Check manuals for overly long sentences</w:t>
      </w:r>
    </w:p>
    <w:p>
      <w:pPr>
        <w:pStyle w:val="ListParagraph"/>
        <w:numPr>
          <w:ilvl w:val="1"/>
          <w:numId w:val="1"/>
        </w:numPr>
        <w:tabs>
          <w:tab w:val="clear" w:pos="720"/>
          <w:tab w:val="left" w:pos="8820" w:leader="none"/>
        </w:tabs>
        <w:spacing w:before="0" w:after="0"/>
        <w:contextualSpacing/>
        <w:rPr>
          <w:rFonts w:cs="Calibri"/>
          <w:sz w:val="20"/>
          <w:szCs w:val="20"/>
        </w:rPr>
      </w:pPr>
      <w:r>
        <w:rPr>
          <w:sz w:val="20"/>
          <w:szCs w:val="20"/>
        </w:rPr>
        <w:t>Email writers when their bugs or a functional spec were modified</w:t>
      </w:r>
    </w:p>
    <w:p>
      <w:pPr>
        <w:pStyle w:val="ListParagraph"/>
        <w:numPr>
          <w:ilvl w:val="1"/>
          <w:numId w:val="1"/>
        </w:numPr>
        <w:tabs>
          <w:tab w:val="clear" w:pos="720"/>
          <w:tab w:val="left" w:pos="8820" w:leader="none"/>
        </w:tabs>
        <w:spacing w:before="0" w:after="0"/>
        <w:contextualSpacing/>
        <w:rPr>
          <w:rFonts w:cs="Calibri"/>
          <w:sz w:val="20"/>
          <w:szCs w:val="20"/>
        </w:rPr>
      </w:pPr>
      <w:r>
        <w:rPr>
          <w:sz w:val="20"/>
          <w:szCs w:val="20"/>
        </w:rPr>
        <w:t>Check manuals for deprecated terms</w:t>
      </w:r>
    </w:p>
    <w:p>
      <w:pPr>
        <w:pStyle w:val="ListParagraph"/>
        <w:numPr>
          <w:ilvl w:val="1"/>
          <w:numId w:val="1"/>
        </w:numPr>
        <w:tabs>
          <w:tab w:val="clear" w:pos="720"/>
          <w:tab w:val="left" w:pos="8820" w:leader="none"/>
        </w:tabs>
        <w:spacing w:before="0" w:after="0"/>
        <w:contextualSpacing/>
        <w:rPr>
          <w:rFonts w:cs="Calibri"/>
          <w:sz w:val="20"/>
          <w:szCs w:val="20"/>
        </w:rPr>
      </w:pPr>
      <w:r>
        <w:rPr>
          <w:sz w:val="20"/>
          <w:szCs w:val="20"/>
        </w:rPr>
        <w:t>Allow writers and managers to track documentation</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Wrote dozens of scripts to streamline my own work, including scripts to automatically build test environments every night, generate nightly PDF and HTML from my latest files, check the backup and recovery reference against the latest code, extract and test examples, and so on</w:t>
      </w:r>
    </w:p>
    <w:p>
      <w:pPr>
        <w:pStyle w:val="ListParagraph"/>
        <w:numPr>
          <w:ilvl w:val="0"/>
          <w:numId w:val="1"/>
        </w:numPr>
        <w:tabs>
          <w:tab w:val="clear" w:pos="720"/>
          <w:tab w:val="left" w:pos="8820" w:leader="none"/>
        </w:tabs>
        <w:spacing w:before="0" w:after="0"/>
        <w:contextualSpacing/>
        <w:rPr>
          <w:rFonts w:cs="Calibri"/>
          <w:sz w:val="20"/>
          <w:szCs w:val="20"/>
        </w:rPr>
      </w:pPr>
      <w:r>
        <w:rPr>
          <w:sz w:val="20"/>
          <w:szCs w:val="20"/>
        </w:rPr>
        <w:t>Maintained Perl scripts used for our doc search site</w:t>
      </w:r>
      <w:r>
        <w:rPr>
          <w:rFonts w:cs="Calibri"/>
          <w:b/>
        </w:rPr>
        <w:br/>
      </w:r>
    </w:p>
    <w:p>
      <w:pPr>
        <w:pStyle w:val="Normal"/>
        <w:pBdr>
          <w:bottom w:val="single" w:sz="2" w:space="1" w:color="000000"/>
        </w:pBdr>
        <w:tabs>
          <w:tab w:val="clear" w:pos="720"/>
          <w:tab w:val="left" w:pos="9270" w:leader="none"/>
        </w:tabs>
        <w:spacing w:before="0" w:after="0"/>
        <w:rPr>
          <w:rFonts w:cs="Calibri"/>
          <w:b/>
        </w:rPr>
      </w:pPr>
      <w:r>
        <w:rPr>
          <w:rFonts w:cs="Calibri"/>
          <w:b/>
        </w:rPr>
        <w:t>SOCIETY FOR TECHNICAL COMMUNICATION (STC) AWARDS</w:t>
      </w:r>
    </w:p>
    <w:p>
      <w:pPr>
        <w:pStyle w:val="Normal"/>
        <w:tabs>
          <w:tab w:val="clear" w:pos="720"/>
          <w:tab w:val="left" w:pos="9270" w:leader="none"/>
        </w:tabs>
        <w:spacing w:before="0" w:after="0"/>
        <w:rPr>
          <w:rFonts w:cs="Calibri"/>
          <w:sz w:val="20"/>
          <w:szCs w:val="20"/>
        </w:rPr>
      </w:pPr>
      <w:r>
        <w:rPr>
          <w:rFonts w:cs="Calibri"/>
          <w:i/>
          <w:sz w:val="20"/>
          <w:szCs w:val="20"/>
        </w:rPr>
        <w:t xml:space="preserve">Oracle Database Concepts </w:t>
      </w:r>
      <w:r>
        <w:rPr>
          <w:rFonts w:cs="Calibri"/>
          <w:sz w:val="20"/>
          <w:szCs w:val="20"/>
        </w:rPr>
        <w:t xml:space="preserve">(Excellence, 2009); </w:t>
      </w:r>
      <w:r>
        <w:rPr>
          <w:rFonts w:cs="Calibri"/>
          <w:i/>
          <w:sz w:val="20"/>
          <w:szCs w:val="20"/>
        </w:rPr>
        <w:t>Oracle Database Backup and Recovery User’s Guide</w:t>
      </w:r>
      <w:r>
        <w:rPr>
          <w:rFonts w:cs="Calibri"/>
          <w:sz w:val="20"/>
          <w:szCs w:val="20"/>
        </w:rPr>
        <w:t xml:space="preserve"> (Distinguished, 2008); </w:t>
      </w:r>
      <w:r>
        <w:rPr>
          <w:rFonts w:cs="Calibri"/>
          <w:i/>
          <w:sz w:val="20"/>
          <w:szCs w:val="20"/>
        </w:rPr>
        <w:t>Oracle Secure Backup Reference</w:t>
      </w:r>
      <w:r>
        <w:rPr>
          <w:rFonts w:cs="Calibri"/>
          <w:sz w:val="20"/>
          <w:szCs w:val="20"/>
        </w:rPr>
        <w:t xml:space="preserve"> (Merit, 2008); </w:t>
      </w:r>
      <w:r>
        <w:rPr>
          <w:rFonts w:cs="Calibri"/>
          <w:i/>
          <w:sz w:val="20"/>
          <w:szCs w:val="20"/>
        </w:rPr>
        <w:t>Oracle Database Backup and Recovery Reference</w:t>
      </w:r>
      <w:r>
        <w:rPr>
          <w:rFonts w:cs="Calibri"/>
          <w:sz w:val="20"/>
          <w:szCs w:val="20"/>
        </w:rPr>
        <w:t xml:space="preserve"> (Merit, 2008); </w:t>
      </w:r>
      <w:r>
        <w:rPr>
          <w:rFonts w:cs="Calibri"/>
          <w:i/>
          <w:sz w:val="20"/>
          <w:szCs w:val="20"/>
        </w:rPr>
        <w:t>Oracle Database 2 Day + Performance Tuning Guide</w:t>
      </w:r>
      <w:r>
        <w:rPr>
          <w:rFonts w:cs="Calibri"/>
          <w:sz w:val="20"/>
          <w:szCs w:val="20"/>
        </w:rPr>
        <w:t xml:space="preserve"> (co-writer; Merit, 2008)</w:t>
      </w:r>
    </w:p>
    <w:p>
      <w:pPr>
        <w:pStyle w:val="Normal"/>
        <w:pBdr>
          <w:bottom w:val="single" w:sz="2" w:space="1" w:color="000000"/>
        </w:pBdr>
        <w:tabs>
          <w:tab w:val="clear" w:pos="720"/>
          <w:tab w:val="left" w:pos="9270" w:leader="none"/>
        </w:tabs>
        <w:spacing w:before="0" w:after="0"/>
        <w:rPr>
          <w:rFonts w:cs="Calibri"/>
          <w:b/>
        </w:rPr>
      </w:pPr>
      <w:r>
        <w:rPr>
          <w:rFonts w:cs="Calibri"/>
          <w:b/>
        </w:rPr>
      </w:r>
    </w:p>
    <w:p>
      <w:pPr>
        <w:pStyle w:val="Normal"/>
        <w:pBdr>
          <w:bottom w:val="single" w:sz="2" w:space="1" w:color="000000"/>
        </w:pBdr>
        <w:tabs>
          <w:tab w:val="clear" w:pos="720"/>
          <w:tab w:val="left" w:pos="9270" w:leader="none"/>
        </w:tabs>
        <w:spacing w:before="0" w:after="0"/>
        <w:rPr>
          <w:rFonts w:cs="Calibri"/>
          <w:b/>
        </w:rPr>
      </w:pPr>
      <w:r>
        <w:rPr>
          <w:rFonts w:cs="Calibri"/>
          <w:b/>
        </w:rPr>
        <w:t>EDUCATION</w:t>
      </w:r>
    </w:p>
    <w:p>
      <w:pPr>
        <w:pStyle w:val="Normal"/>
        <w:tabs>
          <w:tab w:val="clear" w:pos="720"/>
          <w:tab w:val="left" w:pos="9270" w:leader="none"/>
        </w:tabs>
        <w:spacing w:before="0" w:after="0"/>
        <w:rPr>
          <w:rFonts w:cs="Calibri"/>
          <w:b/>
          <w:sz w:val="20"/>
          <w:szCs w:val="20"/>
        </w:rPr>
      </w:pPr>
      <w:r>
        <w:rPr>
          <w:rFonts w:cs="Calibri"/>
          <w:b/>
          <w:sz w:val="20"/>
          <w:szCs w:val="20"/>
        </w:rPr>
        <w:t>UNIVERSITY OF GRONINGEN—GRONINGEN, NL</w:t>
      </w:r>
    </w:p>
    <w:p>
      <w:pPr>
        <w:pStyle w:val="Normal"/>
        <w:tabs>
          <w:tab w:val="clear" w:pos="720"/>
          <w:tab w:val="left" w:pos="9270" w:leader="none"/>
        </w:tabs>
        <w:spacing w:before="0" w:after="0"/>
        <w:rPr>
          <w:rFonts w:cs="Calibri"/>
          <w:b/>
          <w:sz w:val="20"/>
          <w:szCs w:val="20"/>
        </w:rPr>
      </w:pPr>
      <w:r>
        <w:rPr>
          <w:rFonts w:cs="Calibri"/>
          <w:sz w:val="20"/>
          <w:szCs w:val="20"/>
        </w:rPr>
        <w:t>Postdoctoral research, Faculty of Theology and Religious Studies, 11/02 – 05/04</w:t>
        <w:br/>
      </w:r>
      <w:r>
        <w:rPr>
          <w:rFonts w:cs="Calibri"/>
          <w:b/>
          <w:sz w:val="20"/>
          <w:szCs w:val="20"/>
        </w:rPr>
        <w:br/>
        <w:t>CLAREMONT GRADUATE UNIVERSITY—CLAREMONT, CA</w:t>
      </w:r>
    </w:p>
    <w:p>
      <w:pPr>
        <w:pStyle w:val="Normal"/>
        <w:tabs>
          <w:tab w:val="clear" w:pos="720"/>
          <w:tab w:val="left" w:pos="9270" w:leader="none"/>
        </w:tabs>
        <w:spacing w:before="0" w:after="360"/>
        <w:rPr>
          <w:rFonts w:cs="Calibri"/>
          <w:sz w:val="20"/>
          <w:szCs w:val="20"/>
        </w:rPr>
      </w:pPr>
      <w:r>
        <w:rPr>
          <w:rFonts w:cs="Calibri"/>
          <w:sz w:val="20"/>
          <w:szCs w:val="20"/>
        </w:rPr>
        <w:t>Ph.D., Philosophy of Religion, 1997 and M.A., Philosophy, 1995</w:t>
        <w:br/>
      </w:r>
      <w:r>
        <w:rPr>
          <w:rFonts w:cs="Calibri"/>
          <w:b/>
          <w:sz w:val="20"/>
          <w:szCs w:val="20"/>
        </w:rPr>
        <w:br/>
        <w:t>FLORIDA STATE UNIVERSITY—TALLAHASSEE, FL</w:t>
      </w:r>
      <w:r>
        <w:rPr>
          <w:rFonts w:cs="Calibri"/>
          <w:sz w:val="20"/>
          <w:szCs w:val="20"/>
        </w:rPr>
        <w:br/>
        <w:t>M.A., Religious Studies, 1991</w:t>
        <w:br/>
        <w:br/>
      </w:r>
      <w:r>
        <w:rPr>
          <w:rFonts w:cs="Calibri"/>
          <w:b/>
          <w:sz w:val="20"/>
          <w:szCs w:val="20"/>
        </w:rPr>
        <w:t>UNIVERSITY OF NORTH CAROLINA—CHAPEL HILL, NC</w:t>
      </w:r>
      <w:r>
        <w:rPr>
          <w:rFonts w:cs="Calibri"/>
          <w:sz w:val="20"/>
          <w:szCs w:val="20"/>
        </w:rPr>
        <w:br/>
        <w:t>B.A. with distinction, English, 1988</w:t>
      </w:r>
    </w:p>
    <w:sectPr>
      <w:headerReference w:type="even" r:id="rId52"/>
      <w:headerReference w:type="default" r:id="rId53"/>
      <w:headerReference w:type="first" r:id="rId54"/>
      <w:footerReference w:type="even" r:id="rId55"/>
      <w:footerReference w:type="default" r:id="rId56"/>
      <w:footerReference w:type="first" r:id="rId57"/>
      <w:type w:val="nextPage"/>
      <w:pgSz w:w="12240" w:h="15840"/>
      <w:pgMar w:left="720" w:right="720" w:gutter="0" w:header="720" w:top="777" w:footer="36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Tahoma" w:hAnsi="Tahoma" w:eastAsia="Times New Roman" w:cs="Tahoma"/>
        <w:sz w:val="20"/>
        <w:szCs w:val="20"/>
      </w:rPr>
    </w:pPr>
    <w:r>
      <w:rPr>
        <w:rFonts w:cs="Tahoma" w:ascii="Tahoma" w:hAnsi="Tahoma"/>
        <w:b/>
        <w:sz w:val="20"/>
        <w:szCs w:val="20"/>
      </w:rPr>
      <w:t>Lance Ashdown</w:t>
    </w:r>
    <w:r>
      <w:rPr>
        <w:rFonts w:cs="Tahoma" w:ascii="Tahoma" w:hAnsi="Tahoma"/>
        <w:sz w:val="20"/>
        <w:szCs w:val="20"/>
      </w:rPr>
      <w:tab/>
      <w:tab/>
    </w:r>
    <w:r>
      <w:rPr>
        <w:rFonts w:eastAsia="Times New Roman" w:cs="Tahoma" w:ascii="Tahoma" w:hAnsi="Tahoma"/>
        <w:sz w:val="20"/>
        <w:szCs w:val="20"/>
      </w:rPr>
      <w:t xml:space="preserve">pg. </w:t>
    </w:r>
    <w:r>
      <w:rPr>
        <w:rFonts w:eastAsia="Times New Roman" w:cs="Tahoma" w:ascii="Tahoma" w:hAnsi="Tahoma"/>
        <w:sz w:val="20"/>
        <w:szCs w:val="20"/>
      </w:rPr>
      <w:fldChar w:fldCharType="begin"/>
    </w:r>
    <w:r>
      <w:rPr>
        <w:sz w:val="20"/>
        <w:szCs w:val="20"/>
        <w:rFonts w:eastAsia="Times New Roman" w:cs="Tahoma" w:ascii="Tahoma" w:hAnsi="Tahoma"/>
      </w:rPr>
      <w:instrText xml:space="preserve"> PAGE </w:instrText>
    </w:r>
    <w:r>
      <w:rPr>
        <w:sz w:val="20"/>
        <w:szCs w:val="20"/>
        <w:rFonts w:eastAsia="Times New Roman" w:cs="Tahoma" w:ascii="Tahoma" w:hAnsi="Tahoma"/>
      </w:rPr>
      <w:fldChar w:fldCharType="separate"/>
    </w:r>
    <w:r>
      <w:rPr>
        <w:sz w:val="20"/>
        <w:szCs w:val="20"/>
        <w:rFonts w:eastAsia="Times New Roman" w:cs="Tahoma" w:ascii="Tahoma" w:hAnsi="Tahoma"/>
      </w:rPr>
      <w:t>3</w:t>
    </w:r>
    <w:r>
      <w:rPr>
        <w:sz w:val="20"/>
        <w:szCs w:val="20"/>
        <w:rFonts w:eastAsia="Times New Roman" w:cs="Tahoma" w:ascii="Tahoma" w:hAnsi="Tahoma"/>
      </w:rPr>
      <w:fldChar w:fldCharType="end"/>
    </w:r>
  </w:p>
  <w:p>
    <w:pPr>
      <w:pStyle w:val="Footer"/>
      <w:rPr>
        <w:rFonts w:ascii="Tahoma" w:hAnsi="Tahoma" w:cs="Tahoma"/>
        <w:sz w:val="20"/>
        <w:szCs w:val="20"/>
      </w:rPr>
    </w:pPr>
    <w:r>
      <w:rPr>
        <w:rFonts w:cs="Tahoma" w:ascii="Tahoma" w:hAnsi="Tahoma"/>
        <w:sz w:val="20"/>
        <w:szCs w:val="20"/>
      </w:rPr>
      <w:t>lance.ashdown31@gmail.com</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Tahoma" w:hAnsi="Tahoma" w:eastAsia="Times New Roman" w:cs="Tahoma"/>
        <w:sz w:val="20"/>
        <w:szCs w:val="20"/>
      </w:rPr>
    </w:pPr>
    <w:r>
      <w:rPr>
        <w:rFonts w:cs="Tahoma" w:ascii="Tahoma" w:hAnsi="Tahoma"/>
        <w:b/>
        <w:sz w:val="20"/>
        <w:szCs w:val="20"/>
      </w:rPr>
      <w:t>Lance Ashdown</w:t>
    </w:r>
    <w:r>
      <w:rPr>
        <w:rFonts w:cs="Tahoma" w:ascii="Tahoma" w:hAnsi="Tahoma"/>
        <w:sz w:val="20"/>
        <w:szCs w:val="20"/>
      </w:rPr>
      <w:tab/>
      <w:tab/>
    </w:r>
    <w:r>
      <w:rPr>
        <w:rFonts w:eastAsia="Times New Roman" w:cs="Tahoma" w:ascii="Tahoma" w:hAnsi="Tahoma"/>
        <w:sz w:val="20"/>
        <w:szCs w:val="20"/>
      </w:rPr>
      <w:t xml:space="preserve">pg. </w:t>
    </w:r>
    <w:r>
      <w:rPr>
        <w:rFonts w:eastAsia="Times New Roman" w:cs="Tahoma" w:ascii="Tahoma" w:hAnsi="Tahoma"/>
        <w:sz w:val="20"/>
        <w:szCs w:val="20"/>
      </w:rPr>
      <w:fldChar w:fldCharType="begin"/>
    </w:r>
    <w:r>
      <w:rPr>
        <w:sz w:val="20"/>
        <w:szCs w:val="20"/>
        <w:rFonts w:eastAsia="Times New Roman" w:cs="Tahoma" w:ascii="Tahoma" w:hAnsi="Tahoma"/>
      </w:rPr>
      <w:instrText xml:space="preserve"> PAGE </w:instrText>
    </w:r>
    <w:r>
      <w:rPr>
        <w:sz w:val="20"/>
        <w:szCs w:val="20"/>
        <w:rFonts w:eastAsia="Times New Roman" w:cs="Tahoma" w:ascii="Tahoma" w:hAnsi="Tahoma"/>
      </w:rPr>
      <w:fldChar w:fldCharType="separate"/>
    </w:r>
    <w:r>
      <w:rPr>
        <w:sz w:val="20"/>
        <w:szCs w:val="20"/>
        <w:rFonts w:eastAsia="Times New Roman" w:cs="Tahoma" w:ascii="Tahoma" w:hAnsi="Tahoma"/>
      </w:rPr>
      <w:t>3</w:t>
    </w:r>
    <w:r>
      <w:rPr>
        <w:sz w:val="20"/>
        <w:szCs w:val="20"/>
        <w:rFonts w:eastAsia="Times New Roman" w:cs="Tahoma" w:ascii="Tahoma" w:hAnsi="Tahoma"/>
      </w:rPr>
      <w:fldChar w:fldCharType="end"/>
    </w:r>
  </w:p>
  <w:p>
    <w:pPr>
      <w:pStyle w:val="Footer"/>
      <w:rPr>
        <w:rFonts w:ascii="Tahoma" w:hAnsi="Tahoma" w:cs="Tahoma"/>
        <w:sz w:val="20"/>
        <w:szCs w:val="20"/>
      </w:rPr>
    </w:pPr>
    <w:r>
      <w:rPr>
        <w:rFonts w:cs="Tahoma" w:ascii="Tahoma" w:hAnsi="Tahoma"/>
        <w:sz w:val="20"/>
        <w:szCs w:val="20"/>
      </w:rPr>
      <w:t>lance.ashdown31@gmail.com</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
    <w:lvl w:ilvl="0">
      <w:start w:val="1"/>
      <w:numFmt w:val="bullet"/>
      <w:lvlText w:val=""/>
      <w:lvlJc w:val="start"/>
      <w:pPr>
        <w:tabs>
          <w:tab w:val="num" w:pos="360"/>
        </w:tabs>
        <w:ind w:start="360" w:hanging="360"/>
      </w:pPr>
      <w:rPr>
        <w:rFonts w:ascii="Wingdings" w:hAnsi="Wingdings" w:cs="Wingdings" w:hint="default"/>
        <w:sz w:val="20"/>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sa-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0c6093"/>
    <w:pPr>
      <w:widowControl/>
      <w:bidi w:val="0"/>
      <w:spacing w:lineRule="auto" w:line="276" w:before="0" w:after="200"/>
      <w:jc w:val="start"/>
    </w:pPr>
    <w:rPr>
      <w:rFonts w:ascii="Calibri" w:hAnsi="Calibri" w:eastAsia="Calibri" w:cs="Times New Roman"/>
      <w:color w:val="auto"/>
      <w:kern w:val="0"/>
      <w:sz w:val="22"/>
      <w:szCs w:val="22"/>
      <w:lang w:val="en-US" w:eastAsia="en-US" w:bidi="ar-SA"/>
    </w:rPr>
  </w:style>
  <w:style w:type="character" w:styleId="DefaultParagraphFont" w:default="1">
    <w:name w:val="Default Paragraph Font"/>
    <w:uiPriority w:val="1"/>
    <w:unhideWhenUsed/>
    <w:qFormat/>
    <w:rPr/>
  </w:style>
  <w:style w:type="character" w:styleId="Hyperlink">
    <w:name w:val="Hyperlink"/>
    <w:uiPriority w:val="99"/>
    <w:unhideWhenUsed/>
    <w:rsid w:val="00a86620"/>
    <w:rPr>
      <w:color w:val="0000FF"/>
      <w:u w:val="single"/>
    </w:rPr>
  </w:style>
  <w:style w:type="character" w:styleId="HeaderChar" w:customStyle="1">
    <w:name w:val="Header Char"/>
    <w:basedOn w:val="DefaultParagraphFont"/>
    <w:link w:val="Header"/>
    <w:uiPriority w:val="99"/>
    <w:qFormat/>
    <w:rsid w:val="00926518"/>
    <w:rPr/>
  </w:style>
  <w:style w:type="character" w:styleId="FooterChar" w:customStyle="1">
    <w:name w:val="Footer Char"/>
    <w:basedOn w:val="DefaultParagraphFont"/>
    <w:link w:val="Footer"/>
    <w:uiPriority w:val="99"/>
    <w:qFormat/>
    <w:rsid w:val="00926518"/>
    <w:rPr/>
  </w:style>
  <w:style w:type="character" w:styleId="BalloonTextChar" w:customStyle="1">
    <w:name w:val="Balloon Text Char"/>
    <w:link w:val="BalloonText"/>
    <w:uiPriority w:val="99"/>
    <w:semiHidden/>
    <w:qFormat/>
    <w:rsid w:val="00926518"/>
    <w:rPr>
      <w:rFonts w:ascii="Tahoma" w:hAnsi="Tahoma" w:cs="Tahoma"/>
      <w:sz w:val="16"/>
      <w:szCs w:val="16"/>
    </w:rPr>
  </w:style>
  <w:style w:type="character" w:styleId="FollowedHyperlink">
    <w:name w:val="FollowedHyperlink"/>
    <w:uiPriority w:val="99"/>
    <w:semiHidden/>
    <w:unhideWhenUsed/>
    <w:rsid w:val="00342fb1"/>
    <w:rPr>
      <w:color w:val="800080"/>
      <w:u w:val="single"/>
    </w:rPr>
  </w:style>
  <w:style w:type="character" w:styleId="CommentReference">
    <w:name w:val="annotation reference"/>
    <w:uiPriority w:val="99"/>
    <w:semiHidden/>
    <w:unhideWhenUsed/>
    <w:qFormat/>
    <w:rsid w:val="00db4807"/>
    <w:rPr>
      <w:sz w:val="16"/>
      <w:szCs w:val="16"/>
    </w:rPr>
  </w:style>
  <w:style w:type="character" w:styleId="CommentTextChar" w:customStyle="1">
    <w:name w:val="Comment Text Char"/>
    <w:link w:val="CommentText"/>
    <w:uiPriority w:val="99"/>
    <w:semiHidden/>
    <w:qFormat/>
    <w:rsid w:val="00db4807"/>
    <w:rPr>
      <w:sz w:val="20"/>
      <w:szCs w:val="20"/>
    </w:rPr>
  </w:style>
  <w:style w:type="character" w:styleId="CommentSubjectChar" w:customStyle="1">
    <w:name w:val="Comment Subject Char"/>
    <w:link w:val="annotationsubject"/>
    <w:uiPriority w:val="99"/>
    <w:semiHidden/>
    <w:qFormat/>
    <w:rsid w:val="00db4807"/>
    <w:rPr>
      <w:b/>
      <w:bCs/>
      <w:sz w:val="20"/>
      <w:szCs w:val="20"/>
    </w:rPr>
  </w:style>
  <w:style w:type="character" w:styleId="UnresolvedMention1" w:customStyle="1">
    <w:name w:val="Unresolved Mention1"/>
    <w:basedOn w:val="DefaultParagraphFont"/>
    <w:uiPriority w:val="99"/>
    <w:semiHidden/>
    <w:unhideWhenUsed/>
    <w:qFormat/>
    <w:rsid w:val="00455123"/>
    <w:rPr>
      <w:color w:val="605E5C"/>
      <w:shd w:fill="E1DFDD" w:val="clear"/>
    </w:rPr>
  </w:style>
  <w:style w:type="character" w:styleId="UnresolvedMention">
    <w:name w:val="Unresolved Mention"/>
    <w:basedOn w:val="DefaultParagraphFont"/>
    <w:uiPriority w:val="99"/>
    <w:qFormat/>
    <w:rsid w:val="000c609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6508de"/>
    <w:pPr>
      <w:spacing w:before="0" w:after="200"/>
      <w:ind w:start="720"/>
      <w:contextualSpacing/>
    </w:pPr>
    <w:rPr/>
  </w:style>
  <w:style w:type="paragraph" w:styleId="ResumeBulletPoints" w:customStyle="1">
    <w:name w:val="Resume Bullet Points"/>
    <w:basedOn w:val="Normal"/>
    <w:qFormat/>
    <w:rsid w:val="00a5166a"/>
    <w:pPr>
      <w:numPr>
        <w:ilvl w:val="0"/>
        <w:numId w:val="2"/>
      </w:numPr>
      <w:spacing w:lineRule="auto" w:line="240" w:before="0" w:after="120"/>
      <w:jc w:val="both"/>
    </w:pPr>
    <w:rPr>
      <w:rFonts w:ascii="Tahoma" w:hAnsi="Tahoma" w:eastAsia="Times New Roman" w:cs="Tahoma"/>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926518"/>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926518"/>
    <w:pPr>
      <w:tabs>
        <w:tab w:val="clear" w:pos="720"/>
        <w:tab w:val="center" w:pos="4680" w:leader="none"/>
        <w:tab w:val="right" w:pos="9360" w:leader="none"/>
      </w:tabs>
      <w:spacing w:lineRule="auto" w:line="240" w:before="0" w:after="0"/>
    </w:pPr>
    <w:rPr/>
  </w:style>
  <w:style w:type="paragraph" w:styleId="BalloonText">
    <w:name w:val="Balloon Text"/>
    <w:basedOn w:val="Normal"/>
    <w:link w:val="BalloonTextChar"/>
    <w:uiPriority w:val="99"/>
    <w:semiHidden/>
    <w:unhideWhenUsed/>
    <w:qFormat/>
    <w:rsid w:val="00926518"/>
    <w:pPr>
      <w:spacing w:lineRule="auto" w:line="240" w:before="0" w:after="0"/>
    </w:pPr>
    <w:rPr>
      <w:rFonts w:ascii="Tahoma" w:hAnsi="Tahoma" w:cs="Tahoma"/>
      <w:sz w:val="16"/>
      <w:szCs w:val="16"/>
    </w:rPr>
  </w:style>
  <w:style w:type="paragraph" w:styleId="CommentText">
    <w:name w:val="annotation text"/>
    <w:basedOn w:val="Normal"/>
    <w:link w:val="CommentTextChar"/>
    <w:uiPriority w:val="99"/>
    <w:semiHidden/>
    <w:unhideWhenUsed/>
    <w:rsid w:val="00db4807"/>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db4807"/>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d133a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lance.ashdown31@gmail.com" TargetMode="External"/><Relationship Id="rId3" Type="http://schemas.openxmlformats.org/officeDocument/2006/relationships/hyperlink" Target="https://www.linkedin.com/in/lance-ashdown" TargetMode="External"/><Relationship Id="rId4" Type="http://schemas.openxmlformats.org/officeDocument/2006/relationships/hyperlink" Target="https://docs.aws.amazon.com/odb/" TargetMode="External"/><Relationship Id="rId5" Type="http://schemas.openxmlformats.org/officeDocument/2006/relationships/hyperlink" Target="https://docs.aws.amazon.com/rds/" TargetMode="External"/><Relationship Id="rId6" Type="http://schemas.openxmlformats.org/officeDocument/2006/relationships/hyperlink" Target="https://docs.aws.amazon.com/AmazonRDS/latest/UserGuide/CHAP_Oracle.html" TargetMode="External"/><Relationship Id="rId7" Type="http://schemas.openxmlformats.org/officeDocument/2006/relationships/hyperlink" Target="https://docs.aws.amazon.com/AmazonRDS/latest/UserGuide/rds-custom.html" TargetMode="External"/><Relationship Id="rId8" Type="http://schemas.openxmlformats.org/officeDocument/2006/relationships/hyperlink" Target="https://docs.aws.amazon.com/AmazonRDS/latest/UserGuide/CHAP_Monitoring.html" TargetMode="External"/><Relationship Id="rId9" Type="http://schemas.openxmlformats.org/officeDocument/2006/relationships/hyperlink" Target="https://docs.aws.amazon.com/AmazonRDS/latest/UserGuide/CHAP_RDS_Managing.html" TargetMode="External"/><Relationship Id="rId10" Type="http://schemas.openxmlformats.org/officeDocument/2006/relationships/hyperlink" Target="https://docs.aws.amazon.com/AmazonRDS/latest/UserGuide/CHAP_RDS_Configuring.html" TargetMode="External"/><Relationship Id="rId11" Type="http://schemas.openxmlformats.org/officeDocument/2006/relationships/hyperlink" Target="https://docs.aws.amazon.com/AmazonRDS/latest/UserGuide/Welcome.html" TargetMode="External"/><Relationship Id="rId12" Type="http://schemas.openxmlformats.org/officeDocument/2006/relationships/hyperlink" Target="https://docs.aws.amazon.com/AmazonRDS/latest/OracleReleaseNotes/Welcome.html" TargetMode="External"/><Relationship Id="rId13" Type="http://schemas.openxmlformats.org/officeDocument/2006/relationships/hyperlink" Target="http://console.aws.amazon.com/rds/home" TargetMode="External"/><Relationship Id="rId14" Type="http://schemas.openxmlformats.org/officeDocument/2006/relationships/hyperlink" Target="https://docs.oracle.com/database/121/TGSQL/title.htm" TargetMode="External"/><Relationship Id="rId15" Type="http://schemas.openxmlformats.org/officeDocument/2006/relationships/hyperlink" Target="https://docs.oracle.com/database/122/TGSQL/title.htm" TargetMode="External"/><Relationship Id="rId16" Type="http://schemas.openxmlformats.org/officeDocument/2006/relationships/hyperlink" Target="https://docs.oracle.com/en/database/oracle/oracle-database/18/tgsql/index.html" TargetMode="External"/><Relationship Id="rId17" Type="http://schemas.openxmlformats.org/officeDocument/2006/relationships/hyperlink" Target="https://docs.oracle.com/en/database/oracle/oracle-database/19/tgsql/index.html" TargetMode="External"/><Relationship Id="rId18" Type="http://schemas.openxmlformats.org/officeDocument/2006/relationships/hyperlink" Target="https://docs.oracle.com/database/122/INMEM/title.htm" TargetMode="External"/><Relationship Id="rId19" Type="http://schemas.openxmlformats.org/officeDocument/2006/relationships/hyperlink" Target="https://docs.oracle.com/en/database/oracle/oracle-database/18/inmem/" TargetMode="External"/><Relationship Id="rId20" Type="http://schemas.openxmlformats.org/officeDocument/2006/relationships/hyperlink" Target="https://docs.oracle.com/en/database/oracle/oracle-database/19/inmem/" TargetMode="External"/><Relationship Id="rId21" Type="http://schemas.openxmlformats.org/officeDocument/2006/relationships/hyperlink" Target="https://docs.oracle.com/en/database/oracle/oracle-database/18/tutorial-verifying-in-memory-access/" TargetMode="External"/><Relationship Id="rId22" Type="http://schemas.openxmlformats.org/officeDocument/2006/relationships/hyperlink" Target="https://www.youtube.com/watch?v=AW6pT_RwGdc" TargetMode="External"/><Relationship Id="rId23" Type="http://schemas.openxmlformats.org/officeDocument/2006/relationships/hyperlink" Target="https://www.youtube.com/watch?v=9o9iuxNBciQ" TargetMode="External"/><Relationship Id="rId24" Type="http://schemas.openxmlformats.org/officeDocument/2006/relationships/hyperlink" Target="http://docs.oracle.com/cd/B28359_01/server.111/b28275/title.htm" TargetMode="External"/><Relationship Id="rId25" Type="http://schemas.openxmlformats.org/officeDocument/2006/relationships/hyperlink" Target="https://docs.oracle.com/cd/E11882_01/server.112/e10822/toc.htm" TargetMode="External"/><Relationship Id="rId26" Type="http://schemas.openxmlformats.org/officeDocument/2006/relationships/hyperlink" Target="https://docs.oracle.com/database/121/TDPPT/title.htm" TargetMode="External"/><Relationship Id="rId27" Type="http://schemas.openxmlformats.org/officeDocument/2006/relationships/hyperlink" Target="https://docs.oracle.com/database/121/ARPLS/title.htm" TargetMode="External"/><Relationship Id="rId28" Type="http://schemas.openxmlformats.org/officeDocument/2006/relationships/hyperlink" Target="https://docs.oracle.com/database/122/ARPLS/title.htm" TargetMode="External"/><Relationship Id="rId29" Type="http://schemas.openxmlformats.org/officeDocument/2006/relationships/hyperlink" Target="https://docs.oracle.com/en/database/oracle/oracle-database/18/arpls/" TargetMode="External"/><Relationship Id="rId30" Type="http://schemas.openxmlformats.org/officeDocument/2006/relationships/hyperlink" Target="https://docs.oracle.com/en/database/oracle/oracle-database/19/arpls/" TargetMode="External"/><Relationship Id="rId31" Type="http://schemas.openxmlformats.org/officeDocument/2006/relationships/hyperlink" Target="http://docs.oracle.com/cd/E11882_01/server.112/e40540/title.htm" TargetMode="External"/><Relationship Id="rId32" Type="http://schemas.openxmlformats.org/officeDocument/2006/relationships/hyperlink" Target="http://docs.oracle.com/database/121/CNCPT/toc.htm" TargetMode="External"/><Relationship Id="rId33" Type="http://schemas.openxmlformats.org/officeDocument/2006/relationships/hyperlink" Target="http://docs.oracle.com/database/122/CNCPT/toc.htm" TargetMode="External"/><Relationship Id="rId34" Type="http://schemas.openxmlformats.org/officeDocument/2006/relationships/hyperlink" Target="https://docs.oracle.com/en/database/oracle/oracle-database/19/cncpt/" TargetMode="External"/><Relationship Id="rId35" Type="http://schemas.openxmlformats.org/officeDocument/2006/relationships/hyperlink" Target="https://docs.oracle.com/cd/E55822_01/AMAGD/toc.htm" TargetMode="External"/><Relationship Id="rId36" Type="http://schemas.openxmlformats.org/officeDocument/2006/relationships/hyperlink" Target="https://docs.oracle.com/cd/E55822_01/nav/mgloss.htm" TargetMode="External"/><Relationship Id="rId37" Type="http://schemas.openxmlformats.org/officeDocument/2006/relationships/hyperlink" Target="http://docs.oracle.com/cd/B19306_01/appdev.102/b14252/title.htm" TargetMode="External"/><Relationship Id="rId38" Type="http://schemas.openxmlformats.org/officeDocument/2006/relationships/hyperlink" Target="http://docs.oracle.com/cd/B19306_01/install.102/b14235/title.htm" TargetMode="External"/><Relationship Id="rId39" Type="http://schemas.openxmlformats.org/officeDocument/2006/relationships/hyperlink" Target="http://docs.oracle.com/cd/B19306_01/backup.102/b14194/toc.htm" TargetMode="External"/><Relationship Id="rId40" Type="http://schemas.openxmlformats.org/officeDocument/2006/relationships/hyperlink" Target="http://docs.oracle.com/cd/B19306_01/backup.102/b25049/toc.htm" TargetMode="External"/><Relationship Id="rId41" Type="http://schemas.openxmlformats.org/officeDocument/2006/relationships/hyperlink" Target="http://docs.oracle.com/cd/B28359_01/backup.111/b28270/title.htm" TargetMode="External"/><Relationship Id="rId42" Type="http://schemas.openxmlformats.org/officeDocument/2006/relationships/hyperlink" Target="http://docs.oracle.com/cd/B28359_01/backup.111/b28273/toc.htm" TargetMode="External"/><Relationship Id="rId43" Type="http://schemas.openxmlformats.org/officeDocument/2006/relationships/hyperlink" Target="http://docs.oracle.com/cd/B19306_01/appdev.102/b14252/title.htm" TargetMode="External"/><Relationship Id="rId44" Type="http://schemas.openxmlformats.org/officeDocument/2006/relationships/hyperlink" Target="http://docs.oracle.com/cd/B19306_01/B14251_01/title.htm" TargetMode="External"/><Relationship Id="rId45" Type="http://schemas.openxmlformats.org/officeDocument/2006/relationships/hyperlink" Target="http://docs.oracle.com/cd/B19306_01/B14251_01/title.htm" TargetMode="External"/><Relationship Id="rId46" Type="http://schemas.openxmlformats.org/officeDocument/2006/relationships/hyperlink" Target="http://docs.oracle.com/cd/A87860_01/doc/server.817/a76960/title.htm" TargetMode="External"/><Relationship Id="rId47" Type="http://schemas.openxmlformats.org/officeDocument/2006/relationships/hyperlink" Target="http://docs.oracle.com/cd/A87860_01/doc/server.817/a76993/toc.htm" TargetMode="External"/><Relationship Id="rId48" Type="http://schemas.openxmlformats.org/officeDocument/2006/relationships/hyperlink" Target="http://docs.oracle.com/cd/B10501_01/server.920/a97202/toc.htm" TargetMode="External"/><Relationship Id="rId49" Type="http://schemas.openxmlformats.org/officeDocument/2006/relationships/hyperlink" Target="http://docs.oracle.com/cd/B14117_01/server.101/b10735/title.htm" TargetMode="External"/><Relationship Id="rId50" Type="http://schemas.openxmlformats.org/officeDocument/2006/relationships/hyperlink" Target="http://docs.oracle.com/cd/B10501_01/rac.920/a96596/title.htm" TargetMode="External"/><Relationship Id="rId51" Type="http://schemas.openxmlformats.org/officeDocument/2006/relationships/hyperlink" Target="https://docs.oracle.com/cd/A87860_01/doc/server.817/a76995/toc.htm" TargetMode="External"/><Relationship Id="rId52" Type="http://schemas.openxmlformats.org/officeDocument/2006/relationships/header" Target="header1.xml"/><Relationship Id="rId53" Type="http://schemas.openxmlformats.org/officeDocument/2006/relationships/header" Target="header2.xml"/><Relationship Id="rId54" Type="http://schemas.openxmlformats.org/officeDocument/2006/relationships/header" Target="header3.xml"/><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A5284-5DBD-4F07-9006-12C99D108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Application>LibreOffice/25.8.3.2$Windows_X86_64 LibreOffice_project/8ca8d55c161d602844f5428fa4b58097424e324e</Application>
  <AppVersion>15.0000</AppVersion>
  <Pages>3</Pages>
  <Words>1140</Words>
  <Characters>6785</Characters>
  <CharactersWithSpaces>8055</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2025-01-11T19:23:00Z</dcterms:created>
  <dc:creator/>
  <dc:description/>
  <dc:language>en-US</dc:language>
  <cp:lastModifiedBy/>
  <dcterms:modified xsi:type="dcterms:W3CDTF">2025-12-11T16:21:39Z</dcterms:modified>
  <cp:revision>3</cp:revision>
  <dc:subject/>
  <dc:title>Resume</dc:title>
</cp:coreProperties>
</file>

<file path=docProps/custom.xml><?xml version="1.0" encoding="utf-8"?>
<Properties xmlns="http://schemas.openxmlformats.org/officeDocument/2006/custom-properties" xmlns:vt="http://schemas.openxmlformats.org/officeDocument/2006/docPropsVTypes"/>
</file>