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27349" w14:textId="77777777" w:rsidR="001846F6" w:rsidRPr="0072247D" w:rsidRDefault="00000000">
      <w:pPr>
        <w:pStyle w:val="aa"/>
        <w:rPr>
          <w:rFonts w:ascii="Times New Roman" w:hAnsi="Times New Roman" w:cs="Times New Roman"/>
        </w:rPr>
      </w:pPr>
      <w:r w:rsidRPr="0072247D">
        <w:rPr>
          <w:rFonts w:ascii="Times New Roman" w:hAnsi="Times New Roman" w:cs="Times New Roman"/>
        </w:rPr>
        <w:t>NLP Analysis of Eldercare Companion Robots</w:t>
      </w:r>
    </w:p>
    <w:p w14:paraId="1C4DB10E" w14:textId="77777777" w:rsidR="001846F6" w:rsidRPr="0072247D" w:rsidRDefault="00000000">
      <w:pPr>
        <w:pStyle w:val="ac"/>
        <w:rPr>
          <w:rFonts w:ascii="Times New Roman" w:hAnsi="Times New Roman" w:cs="Times New Roman"/>
        </w:rPr>
      </w:pPr>
      <w:r w:rsidRPr="0072247D">
        <w:rPr>
          <w:rFonts w:ascii="Times New Roman" w:hAnsi="Times New Roman" w:cs="Times New Roman"/>
        </w:rPr>
        <w:t>Week 6 Technical Report</w:t>
      </w:r>
    </w:p>
    <w:p w14:paraId="6B8E3189" w14:textId="6873318E" w:rsidR="001846F6" w:rsidRPr="0072247D" w:rsidRDefault="00000000">
      <w:pPr>
        <w:spacing w:after="160"/>
        <w:rPr>
          <w:rFonts w:ascii="Times New Roman" w:hAnsi="Times New Roman" w:cs="Times New Roman"/>
        </w:rPr>
      </w:pPr>
      <w:r w:rsidRPr="0072247D">
        <w:rPr>
          <w:rFonts w:ascii="Times New Roman" w:hAnsi="Times New Roman" w:cs="Times New Roman"/>
          <w:sz w:val="20"/>
        </w:rPr>
        <w:t xml:space="preserve">Yincheng </w:t>
      </w:r>
      <w:proofErr w:type="gramStart"/>
      <w:r w:rsidRPr="0072247D">
        <w:rPr>
          <w:rFonts w:ascii="Times New Roman" w:hAnsi="Times New Roman" w:cs="Times New Roman"/>
          <w:sz w:val="20"/>
        </w:rPr>
        <w:t>Zhang  |</w:t>
      </w:r>
      <w:proofErr w:type="gramEnd"/>
      <w:r w:rsidRPr="0072247D">
        <w:rPr>
          <w:rFonts w:ascii="Times New Roman" w:hAnsi="Times New Roman" w:cs="Times New Roman"/>
          <w:sz w:val="20"/>
        </w:rPr>
        <w:t xml:space="preserve">  October 16 2026</w:t>
      </w:r>
    </w:p>
    <w:p w14:paraId="333A75BA" w14:textId="023460D1" w:rsidR="0072247D" w:rsidRPr="0072247D" w:rsidRDefault="0072247D">
      <w:pPr>
        <w:rPr>
          <w:rFonts w:ascii="Times New Roman" w:eastAsia="宋体" w:hAnsi="Times New Roman" w:cs="Times New Roman"/>
          <w:b/>
          <w:bCs/>
          <w:sz w:val="24"/>
          <w:szCs w:val="24"/>
          <w:lang w:eastAsia="zh-CN"/>
        </w:rPr>
      </w:pPr>
      <w:r w:rsidRPr="0072247D">
        <w:rPr>
          <w:rFonts w:ascii="Times New Roman" w:eastAsia="宋体" w:hAnsi="Times New Roman" w:cs="Times New Roman"/>
          <w:b/>
          <w:bCs/>
          <w:sz w:val="24"/>
          <w:szCs w:val="24"/>
          <w:lang w:eastAsia="zh-CN"/>
        </w:rPr>
        <w:t>Executive assessment</w:t>
      </w:r>
    </w:p>
    <w:p w14:paraId="6BBA4C19" w14:textId="7341828E" w:rsidR="001846F6" w:rsidRPr="0072247D" w:rsidRDefault="00000000">
      <w:pPr>
        <w:rPr>
          <w:rFonts w:ascii="Times New Roman" w:hAnsi="Times New Roman" w:cs="Times New Roman"/>
        </w:rPr>
      </w:pPr>
      <w:r w:rsidRPr="0072247D">
        <w:rPr>
          <w:rFonts w:ascii="Times New Roman" w:hAnsi="Times New Roman" w:cs="Times New Roman"/>
        </w:rPr>
        <w:t>The Phase C analysis organizes public text about eldercare companion technology and identifies questions for Fari product validation. Caregiver support dominates the corpus. Automated scores require contextual review, and the functional classifier does not yet generalize reliably. VADER labeled 19 of 20 documents positive; targeted reading exposed opposing product judgments. A Decision Tree matched only one of three test rule labels, and the selected five-cluster solution had weak separation. The findings support focused usability and evidence checks before broader product claims. [1–3]</w:t>
      </w:r>
    </w:p>
    <w:p w14:paraId="18FAEE7D" w14:textId="4EA6FB2D" w:rsidR="0072247D" w:rsidRPr="0072247D" w:rsidRDefault="0072247D">
      <w:pPr>
        <w:rPr>
          <w:rFonts w:ascii="Times New Roman" w:eastAsia="宋体" w:hAnsi="Times New Roman" w:cs="Times New Roman"/>
          <w:b/>
          <w:bCs/>
          <w:sz w:val="24"/>
          <w:szCs w:val="24"/>
          <w:lang w:eastAsia="zh-CN"/>
        </w:rPr>
      </w:pPr>
      <w:r w:rsidRPr="0072247D">
        <w:rPr>
          <w:rFonts w:ascii="Times New Roman" w:eastAsia="宋体" w:hAnsi="Times New Roman" w:cs="Times New Roman"/>
          <w:b/>
          <w:bCs/>
          <w:sz w:val="24"/>
          <w:szCs w:val="24"/>
          <w:lang w:eastAsia="zh-CN"/>
        </w:rPr>
        <w:t>Corpus and preprocessing</w:t>
      </w:r>
    </w:p>
    <w:p w14:paraId="3B3A2745" w14:textId="09478D0D" w:rsidR="001846F6" w:rsidRPr="0072247D" w:rsidRDefault="00000000">
      <w:pPr>
        <w:rPr>
          <w:rFonts w:ascii="Times New Roman" w:hAnsi="Times New Roman" w:cs="Times New Roman"/>
        </w:rPr>
      </w:pPr>
      <w:r w:rsidRPr="0072247D">
        <w:rPr>
          <w:rFonts w:ascii="Times New Roman" w:hAnsi="Times New Roman" w:cs="Times New Roman"/>
        </w:rPr>
        <w:t>The corpus contains 20 English documents from eight publishers: 11 company documents, six press articles, two government-program releases, and one editorial review. Coverage centers on ElliQ and broader care technology, with one Fari design page. These are articles and product communications, not a representative survey or a dataset of verified customer reviews. The two NYSOFA releases describe the same program. [1,2]</w:t>
      </w:r>
    </w:p>
    <w:p w14:paraId="41016186" w14:textId="77777777" w:rsidR="001846F6" w:rsidRPr="0072247D" w:rsidRDefault="00000000">
      <w:pPr>
        <w:rPr>
          <w:rFonts w:ascii="Times New Roman" w:hAnsi="Times New Roman" w:cs="Times New Roman"/>
        </w:rPr>
      </w:pPr>
      <w:r w:rsidRPr="0072247D">
        <w:rPr>
          <w:rFonts w:ascii="Times New Roman" w:hAnsi="Times New Roman" w:cs="Times New Roman"/>
        </w:rPr>
        <w:t>The pipeline preserves reviewed text in text_for_nlp for sentiment scoring and creates text_preprocessed for modeling. It normalizes Unicode and contractions, expands AI to artificial intelligence, applies NLTK tokenization and POS-aware WordNet lemmatization, lowercases tokens, and removes standard and custom stopwords. Alphabetic lemmas of at least three characters are retained, including selected negation cues. All documents remain nonempty, yielding 11,683 tokens and 2,441 unique terms. Numeric and mixed technical identifiers are lost under these filters. [1]</w:t>
      </w:r>
    </w:p>
    <w:p w14:paraId="4D89AEFC" w14:textId="5ABC6593" w:rsidR="0072247D" w:rsidRPr="0072247D" w:rsidRDefault="0072247D">
      <w:pPr>
        <w:rPr>
          <w:rFonts w:ascii="Times New Roman" w:eastAsia="宋体" w:hAnsi="Times New Roman" w:cs="Times New Roman"/>
          <w:b/>
          <w:bCs/>
          <w:sz w:val="24"/>
          <w:szCs w:val="24"/>
          <w:lang w:eastAsia="zh-CN"/>
        </w:rPr>
      </w:pPr>
      <w:r w:rsidRPr="0072247D">
        <w:rPr>
          <w:rFonts w:ascii="Times New Roman" w:eastAsia="宋体" w:hAnsi="Times New Roman" w:cs="Times New Roman"/>
          <w:b/>
          <w:bCs/>
          <w:sz w:val="24"/>
          <w:szCs w:val="24"/>
          <w:lang w:eastAsia="zh-CN"/>
        </w:rPr>
        <w:t>TF IDF findings</w:t>
      </w:r>
    </w:p>
    <w:p w14:paraId="497903D4" w14:textId="6B704811" w:rsidR="001846F6" w:rsidRPr="0072247D" w:rsidRDefault="00000000">
      <w:pPr>
        <w:rPr>
          <w:rFonts w:ascii="Times New Roman" w:hAnsi="Times New Roman" w:cs="Times New Roman"/>
        </w:rPr>
      </w:pPr>
      <w:r w:rsidRPr="0072247D">
        <w:rPr>
          <w:rFonts w:ascii="Times New Roman" w:hAnsi="Times New Roman" w:cs="Times New Roman"/>
        </w:rPr>
        <w:t>The 20 × 2,441 TF-IDF matrix uses unigrams, sublinear term frequency, smoothed IDF, and L2 normalization. Leading mean weights are not (0.0502), support (0.0480), care (0.0477), and senior (0.0466). The prominence of not reflects preserved negation rather than negative sentiment. Government terms such as nysofa, partner, and pilot distinguish institutional reporting; emergency and contact feature in the sole editorial review. Company and press centroids have the greatest cross-category cosine similarity (0.4613), indicating vocabulary overlap rather than agreement. [1]</w:t>
      </w:r>
    </w:p>
    <w:p w14:paraId="6B0DBA7D" w14:textId="46F14BB7" w:rsidR="0072247D" w:rsidRPr="0072247D" w:rsidRDefault="0072247D">
      <w:pPr>
        <w:rPr>
          <w:rFonts w:ascii="Times New Roman" w:eastAsia="宋体" w:hAnsi="Times New Roman" w:cs="Times New Roman"/>
          <w:b/>
          <w:bCs/>
          <w:sz w:val="24"/>
          <w:szCs w:val="24"/>
          <w:lang w:eastAsia="zh-CN"/>
        </w:rPr>
      </w:pPr>
      <w:r w:rsidRPr="0072247D">
        <w:rPr>
          <w:rFonts w:ascii="Times New Roman" w:eastAsia="宋体" w:hAnsi="Times New Roman" w:cs="Times New Roman"/>
          <w:b/>
          <w:bCs/>
          <w:sz w:val="24"/>
          <w:szCs w:val="24"/>
          <w:lang w:eastAsia="zh-CN"/>
        </w:rPr>
        <w:t>LDA topic findings</w:t>
      </w:r>
    </w:p>
    <w:p w14:paraId="6089C7C7" w14:textId="53F4A293" w:rsidR="001846F6" w:rsidRPr="0072247D" w:rsidRDefault="00000000">
      <w:pPr>
        <w:rPr>
          <w:rFonts w:ascii="Times New Roman" w:hAnsi="Times New Roman" w:cs="Times New Roman"/>
        </w:rPr>
      </w:pPr>
      <w:r w:rsidRPr="0072247D">
        <w:rPr>
          <w:rFonts w:ascii="Times New Roman" w:hAnsi="Times New Roman" w:cs="Times New Roman"/>
        </w:rPr>
        <w:t>LDA used word counts, batch learning, up to 50 iterations, and seed 42. Among three to eight topics, six gave the lowest training perplexity (1,154.94). Five topics were selected after keyword and excerpt review for interpretability, with perplexity 1,161.88. Dominant-topic counts were Caregiver and Family Support 12, Social Companionship 3, Product Features and Use 2, Robotic Pets and Wellbeing 2, and Fari Technical Design 1. Labels are interpretations; no formal coherence or held-out evaluation was performed. [1]</w:t>
      </w:r>
    </w:p>
    <w:p w14:paraId="2AAB96B8" w14:textId="77777777" w:rsidR="0072247D" w:rsidRDefault="0072247D">
      <w:pPr>
        <w:rPr>
          <w:rFonts w:ascii="Times New Roman" w:eastAsia="宋体" w:hAnsi="Times New Roman" w:cs="Times New Roman"/>
          <w:b/>
          <w:bCs/>
          <w:sz w:val="24"/>
          <w:szCs w:val="24"/>
          <w:lang w:eastAsia="zh-CN"/>
        </w:rPr>
      </w:pPr>
    </w:p>
    <w:p w14:paraId="10B1349F" w14:textId="77777777" w:rsidR="0072247D" w:rsidRDefault="0072247D">
      <w:pPr>
        <w:rPr>
          <w:rFonts w:ascii="Times New Roman" w:eastAsia="宋体" w:hAnsi="Times New Roman" w:cs="Times New Roman"/>
          <w:b/>
          <w:bCs/>
          <w:sz w:val="24"/>
          <w:szCs w:val="24"/>
          <w:lang w:eastAsia="zh-CN"/>
        </w:rPr>
      </w:pPr>
    </w:p>
    <w:p w14:paraId="1E8EAD76" w14:textId="77777777" w:rsidR="0072247D" w:rsidRDefault="0072247D">
      <w:pPr>
        <w:rPr>
          <w:rFonts w:ascii="Times New Roman" w:eastAsia="宋体" w:hAnsi="Times New Roman" w:cs="Times New Roman"/>
          <w:b/>
          <w:bCs/>
          <w:sz w:val="24"/>
          <w:szCs w:val="24"/>
          <w:lang w:eastAsia="zh-CN"/>
        </w:rPr>
      </w:pPr>
    </w:p>
    <w:p w14:paraId="636AB738" w14:textId="77777777" w:rsidR="0072247D" w:rsidRDefault="0072247D">
      <w:pPr>
        <w:rPr>
          <w:rFonts w:ascii="Times New Roman" w:eastAsia="宋体" w:hAnsi="Times New Roman" w:cs="Times New Roman"/>
          <w:b/>
          <w:bCs/>
          <w:sz w:val="24"/>
          <w:szCs w:val="24"/>
          <w:lang w:eastAsia="zh-CN"/>
        </w:rPr>
      </w:pPr>
    </w:p>
    <w:p w14:paraId="7B933E58" w14:textId="77777777" w:rsidR="0072247D" w:rsidRDefault="0072247D">
      <w:pPr>
        <w:rPr>
          <w:rFonts w:ascii="Times New Roman" w:eastAsia="宋体" w:hAnsi="Times New Roman" w:cs="Times New Roman"/>
          <w:b/>
          <w:bCs/>
          <w:sz w:val="24"/>
          <w:szCs w:val="24"/>
          <w:lang w:eastAsia="zh-CN"/>
        </w:rPr>
      </w:pPr>
    </w:p>
    <w:p w14:paraId="53609002" w14:textId="77777777" w:rsidR="0072247D" w:rsidRDefault="0072247D">
      <w:pPr>
        <w:rPr>
          <w:rFonts w:ascii="Times New Roman" w:eastAsia="宋体" w:hAnsi="Times New Roman" w:cs="Times New Roman"/>
          <w:b/>
          <w:bCs/>
          <w:sz w:val="24"/>
          <w:szCs w:val="24"/>
          <w:lang w:eastAsia="zh-CN"/>
        </w:rPr>
      </w:pPr>
    </w:p>
    <w:p w14:paraId="13F08760" w14:textId="77777777" w:rsidR="0072247D" w:rsidRDefault="0072247D">
      <w:pPr>
        <w:rPr>
          <w:rFonts w:ascii="Times New Roman" w:eastAsia="宋体" w:hAnsi="Times New Roman" w:cs="Times New Roman"/>
          <w:b/>
          <w:bCs/>
          <w:sz w:val="24"/>
          <w:szCs w:val="24"/>
          <w:lang w:eastAsia="zh-CN"/>
        </w:rPr>
      </w:pPr>
    </w:p>
    <w:p w14:paraId="70B40918" w14:textId="77777777" w:rsidR="0072247D" w:rsidRDefault="0072247D">
      <w:pPr>
        <w:rPr>
          <w:rFonts w:ascii="Times New Roman" w:eastAsia="宋体" w:hAnsi="Times New Roman" w:cs="Times New Roman"/>
          <w:b/>
          <w:bCs/>
          <w:sz w:val="24"/>
          <w:szCs w:val="24"/>
          <w:lang w:eastAsia="zh-CN"/>
        </w:rPr>
      </w:pPr>
    </w:p>
    <w:p w14:paraId="68032FD2" w14:textId="0D863536" w:rsidR="0072247D" w:rsidRPr="0072247D" w:rsidRDefault="0072247D">
      <w:pPr>
        <w:rPr>
          <w:rFonts w:ascii="Times New Roman" w:eastAsia="宋体" w:hAnsi="Times New Roman" w:cs="Times New Roman"/>
          <w:b/>
          <w:bCs/>
          <w:sz w:val="24"/>
          <w:szCs w:val="24"/>
          <w:lang w:eastAsia="zh-CN"/>
        </w:rPr>
      </w:pPr>
      <w:r w:rsidRPr="0072247D">
        <w:rPr>
          <w:rFonts w:ascii="Times New Roman" w:eastAsia="宋体" w:hAnsi="Times New Roman" w:cs="Times New Roman"/>
          <w:b/>
          <w:bCs/>
          <w:sz w:val="24"/>
          <w:szCs w:val="24"/>
          <w:lang w:eastAsia="zh-CN"/>
        </w:rPr>
        <w:lastRenderedPageBreak/>
        <w:t>Sentiment results and contextual review</w:t>
      </w:r>
    </w:p>
    <w:p w14:paraId="2A07356A" w14:textId="7198FD6B" w:rsidR="0072247D" w:rsidRPr="0072247D" w:rsidRDefault="00000000">
      <w:pPr>
        <w:rPr>
          <w:rFonts w:ascii="Times New Roman" w:eastAsia="宋体" w:hAnsi="Times New Roman" w:cs="Times New Roman" w:hint="eastAsia"/>
          <w:lang w:eastAsia="zh-CN"/>
        </w:rPr>
      </w:pPr>
      <w:r w:rsidRPr="0072247D">
        <w:rPr>
          <w:rFonts w:ascii="Times New Roman" w:hAnsi="Times New Roman" w:cs="Times New Roman"/>
        </w:rPr>
        <w:t>NLTK VADER scored each full reviewed document, using compound thresholds of +0.05 and −0.05. Results were 19 positive, one negative, and zero neutral. All positive scores fell between 0.9972 and 0.9999. The compound score represents language polarity, not confidence, satisfaction, or the probability of endorsement. Fixed inputs and versions produce deterministic scores. [2,4]</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4032"/>
        <w:gridCol w:w="1296"/>
        <w:gridCol w:w="1296"/>
        <w:gridCol w:w="2736"/>
      </w:tblGrid>
      <w:tr w:rsidR="001846F6" w:rsidRPr="0072247D" w14:paraId="74FA66AD" w14:textId="77777777" w:rsidTr="009667E6">
        <w:trPr>
          <w:cantSplit/>
          <w:tblHeader/>
          <w:jc w:val="center"/>
        </w:trPr>
        <w:tc>
          <w:tcPr>
            <w:tcW w:w="4032" w:type="dxa"/>
            <w:tcBorders>
              <w:bottom w:val="single" w:sz="4" w:space="0" w:color="auto"/>
            </w:tcBorders>
            <w:tcMar>
              <w:top w:w="70" w:type="dxa"/>
              <w:left w:w="90" w:type="dxa"/>
              <w:bottom w:w="70" w:type="dxa"/>
              <w:right w:w="90" w:type="dxa"/>
            </w:tcMar>
            <w:vAlign w:val="center"/>
          </w:tcPr>
          <w:p w14:paraId="3400F8AC"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b/>
                <w:sz w:val="19"/>
              </w:rPr>
              <w:t>Source category</w:t>
            </w:r>
          </w:p>
        </w:tc>
        <w:tc>
          <w:tcPr>
            <w:tcW w:w="1296" w:type="dxa"/>
            <w:tcBorders>
              <w:bottom w:val="single" w:sz="4" w:space="0" w:color="auto"/>
            </w:tcBorders>
            <w:tcMar>
              <w:top w:w="70" w:type="dxa"/>
              <w:left w:w="90" w:type="dxa"/>
              <w:bottom w:w="70" w:type="dxa"/>
              <w:right w:w="90" w:type="dxa"/>
            </w:tcMar>
            <w:vAlign w:val="center"/>
          </w:tcPr>
          <w:p w14:paraId="2450A42B"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9"/>
              </w:rPr>
              <w:t>Documents</w:t>
            </w:r>
          </w:p>
        </w:tc>
        <w:tc>
          <w:tcPr>
            <w:tcW w:w="1296" w:type="dxa"/>
            <w:tcBorders>
              <w:bottom w:val="single" w:sz="4" w:space="0" w:color="auto"/>
            </w:tcBorders>
            <w:tcMar>
              <w:top w:w="70" w:type="dxa"/>
              <w:left w:w="90" w:type="dxa"/>
              <w:bottom w:w="70" w:type="dxa"/>
              <w:right w:w="90" w:type="dxa"/>
            </w:tcMar>
            <w:vAlign w:val="center"/>
          </w:tcPr>
          <w:p w14:paraId="44B6DC9D"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9"/>
              </w:rPr>
              <w:t>Positive</w:t>
            </w:r>
          </w:p>
        </w:tc>
        <w:tc>
          <w:tcPr>
            <w:tcW w:w="2736" w:type="dxa"/>
            <w:tcBorders>
              <w:bottom w:val="single" w:sz="4" w:space="0" w:color="auto"/>
            </w:tcBorders>
            <w:tcMar>
              <w:top w:w="70" w:type="dxa"/>
              <w:left w:w="90" w:type="dxa"/>
              <w:bottom w:w="70" w:type="dxa"/>
              <w:right w:w="90" w:type="dxa"/>
            </w:tcMar>
            <w:vAlign w:val="center"/>
          </w:tcPr>
          <w:p w14:paraId="363A4874"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9"/>
              </w:rPr>
              <w:t>Mean compound</w:t>
            </w:r>
          </w:p>
        </w:tc>
      </w:tr>
      <w:tr w:rsidR="001846F6" w:rsidRPr="0072247D" w14:paraId="6F2AE169" w14:textId="77777777" w:rsidTr="009667E6">
        <w:trPr>
          <w:cantSplit/>
          <w:jc w:val="center"/>
        </w:trPr>
        <w:tc>
          <w:tcPr>
            <w:tcW w:w="4032" w:type="dxa"/>
            <w:tcBorders>
              <w:top w:val="single" w:sz="4" w:space="0" w:color="auto"/>
              <w:bottom w:val="nil"/>
            </w:tcBorders>
            <w:tcMar>
              <w:top w:w="70" w:type="dxa"/>
              <w:left w:w="90" w:type="dxa"/>
              <w:bottom w:w="70" w:type="dxa"/>
              <w:right w:w="90" w:type="dxa"/>
            </w:tcMar>
            <w:vAlign w:val="center"/>
          </w:tcPr>
          <w:p w14:paraId="4541E133"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Company content</w:t>
            </w:r>
          </w:p>
        </w:tc>
        <w:tc>
          <w:tcPr>
            <w:tcW w:w="1296" w:type="dxa"/>
            <w:tcBorders>
              <w:top w:val="single" w:sz="4" w:space="0" w:color="auto"/>
              <w:bottom w:val="nil"/>
            </w:tcBorders>
            <w:tcMar>
              <w:top w:w="70" w:type="dxa"/>
              <w:left w:w="90" w:type="dxa"/>
              <w:bottom w:w="70" w:type="dxa"/>
              <w:right w:w="90" w:type="dxa"/>
            </w:tcMar>
            <w:vAlign w:val="center"/>
          </w:tcPr>
          <w:p w14:paraId="0B69402A"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11</w:t>
            </w:r>
          </w:p>
        </w:tc>
        <w:tc>
          <w:tcPr>
            <w:tcW w:w="1296" w:type="dxa"/>
            <w:tcBorders>
              <w:top w:val="single" w:sz="4" w:space="0" w:color="auto"/>
              <w:bottom w:val="nil"/>
            </w:tcBorders>
            <w:tcMar>
              <w:top w:w="70" w:type="dxa"/>
              <w:left w:w="90" w:type="dxa"/>
              <w:bottom w:w="70" w:type="dxa"/>
              <w:right w:w="90" w:type="dxa"/>
            </w:tcMar>
            <w:vAlign w:val="center"/>
          </w:tcPr>
          <w:p w14:paraId="5FCF4E8B"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11</w:t>
            </w:r>
          </w:p>
        </w:tc>
        <w:tc>
          <w:tcPr>
            <w:tcW w:w="2736" w:type="dxa"/>
            <w:tcBorders>
              <w:top w:val="single" w:sz="4" w:space="0" w:color="auto"/>
              <w:bottom w:val="nil"/>
            </w:tcBorders>
            <w:tcMar>
              <w:top w:w="70" w:type="dxa"/>
              <w:left w:w="90" w:type="dxa"/>
              <w:bottom w:w="70" w:type="dxa"/>
              <w:right w:w="90" w:type="dxa"/>
            </w:tcMar>
            <w:vAlign w:val="center"/>
          </w:tcPr>
          <w:p w14:paraId="2F0508AF"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0.9995</w:t>
            </w:r>
          </w:p>
        </w:tc>
      </w:tr>
      <w:tr w:rsidR="001846F6" w:rsidRPr="0072247D" w14:paraId="05842DCF" w14:textId="77777777" w:rsidTr="009667E6">
        <w:trPr>
          <w:cantSplit/>
          <w:jc w:val="center"/>
        </w:trPr>
        <w:tc>
          <w:tcPr>
            <w:tcW w:w="4032" w:type="dxa"/>
            <w:tcBorders>
              <w:top w:val="nil"/>
              <w:bottom w:val="nil"/>
            </w:tcBorders>
            <w:tcMar>
              <w:top w:w="70" w:type="dxa"/>
              <w:left w:w="90" w:type="dxa"/>
              <w:bottom w:w="70" w:type="dxa"/>
              <w:right w:w="90" w:type="dxa"/>
            </w:tcMar>
            <w:vAlign w:val="center"/>
          </w:tcPr>
          <w:p w14:paraId="5B16700E"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Press coverage</w:t>
            </w:r>
          </w:p>
        </w:tc>
        <w:tc>
          <w:tcPr>
            <w:tcW w:w="1296" w:type="dxa"/>
            <w:tcBorders>
              <w:top w:val="nil"/>
              <w:bottom w:val="nil"/>
            </w:tcBorders>
            <w:tcMar>
              <w:top w:w="70" w:type="dxa"/>
              <w:left w:w="90" w:type="dxa"/>
              <w:bottom w:w="70" w:type="dxa"/>
              <w:right w:w="90" w:type="dxa"/>
            </w:tcMar>
            <w:vAlign w:val="center"/>
          </w:tcPr>
          <w:p w14:paraId="06D5AD1E"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6</w:t>
            </w:r>
          </w:p>
        </w:tc>
        <w:tc>
          <w:tcPr>
            <w:tcW w:w="1296" w:type="dxa"/>
            <w:tcBorders>
              <w:top w:val="nil"/>
              <w:bottom w:val="nil"/>
            </w:tcBorders>
            <w:tcMar>
              <w:top w:w="70" w:type="dxa"/>
              <w:left w:w="90" w:type="dxa"/>
              <w:bottom w:w="70" w:type="dxa"/>
              <w:right w:w="90" w:type="dxa"/>
            </w:tcMar>
            <w:vAlign w:val="center"/>
          </w:tcPr>
          <w:p w14:paraId="4E5F1E2E"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5</w:t>
            </w:r>
          </w:p>
        </w:tc>
        <w:tc>
          <w:tcPr>
            <w:tcW w:w="2736" w:type="dxa"/>
            <w:tcBorders>
              <w:top w:val="nil"/>
              <w:bottom w:val="nil"/>
            </w:tcBorders>
            <w:tcMar>
              <w:top w:w="70" w:type="dxa"/>
              <w:left w:w="90" w:type="dxa"/>
              <w:bottom w:w="70" w:type="dxa"/>
              <w:right w:w="90" w:type="dxa"/>
            </w:tcMar>
            <w:vAlign w:val="center"/>
          </w:tcPr>
          <w:p w14:paraId="3215B316"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0.7275</w:t>
            </w:r>
          </w:p>
        </w:tc>
      </w:tr>
      <w:tr w:rsidR="001846F6" w:rsidRPr="0072247D" w14:paraId="44A027DA" w14:textId="77777777" w:rsidTr="009667E6">
        <w:trPr>
          <w:cantSplit/>
          <w:jc w:val="center"/>
        </w:trPr>
        <w:tc>
          <w:tcPr>
            <w:tcW w:w="4032" w:type="dxa"/>
            <w:tcBorders>
              <w:top w:val="nil"/>
              <w:bottom w:val="nil"/>
            </w:tcBorders>
            <w:tcMar>
              <w:top w:w="70" w:type="dxa"/>
              <w:left w:w="90" w:type="dxa"/>
              <w:bottom w:w="70" w:type="dxa"/>
              <w:right w:w="90" w:type="dxa"/>
            </w:tcMar>
            <w:vAlign w:val="center"/>
          </w:tcPr>
          <w:p w14:paraId="3ADE175F"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Government program</w:t>
            </w:r>
          </w:p>
        </w:tc>
        <w:tc>
          <w:tcPr>
            <w:tcW w:w="1296" w:type="dxa"/>
            <w:tcBorders>
              <w:top w:val="nil"/>
              <w:bottom w:val="nil"/>
            </w:tcBorders>
            <w:tcMar>
              <w:top w:w="70" w:type="dxa"/>
              <w:left w:w="90" w:type="dxa"/>
              <w:bottom w:w="70" w:type="dxa"/>
              <w:right w:w="90" w:type="dxa"/>
            </w:tcMar>
            <w:vAlign w:val="center"/>
          </w:tcPr>
          <w:p w14:paraId="753361B0"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2</w:t>
            </w:r>
          </w:p>
        </w:tc>
        <w:tc>
          <w:tcPr>
            <w:tcW w:w="1296" w:type="dxa"/>
            <w:tcBorders>
              <w:top w:val="nil"/>
              <w:bottom w:val="nil"/>
            </w:tcBorders>
            <w:tcMar>
              <w:top w:w="70" w:type="dxa"/>
              <w:left w:w="90" w:type="dxa"/>
              <w:bottom w:w="70" w:type="dxa"/>
              <w:right w:w="90" w:type="dxa"/>
            </w:tcMar>
            <w:vAlign w:val="center"/>
          </w:tcPr>
          <w:p w14:paraId="4F379665"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2</w:t>
            </w:r>
          </w:p>
        </w:tc>
        <w:tc>
          <w:tcPr>
            <w:tcW w:w="2736" w:type="dxa"/>
            <w:tcBorders>
              <w:top w:val="nil"/>
              <w:bottom w:val="nil"/>
            </w:tcBorders>
            <w:tcMar>
              <w:top w:w="70" w:type="dxa"/>
              <w:left w:w="90" w:type="dxa"/>
              <w:bottom w:w="70" w:type="dxa"/>
              <w:right w:w="90" w:type="dxa"/>
            </w:tcMar>
            <w:vAlign w:val="center"/>
          </w:tcPr>
          <w:p w14:paraId="22918B77"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0.9979</w:t>
            </w:r>
          </w:p>
        </w:tc>
      </w:tr>
      <w:tr w:rsidR="001846F6" w:rsidRPr="0072247D" w14:paraId="7093024D" w14:textId="77777777" w:rsidTr="009667E6">
        <w:trPr>
          <w:cantSplit/>
          <w:jc w:val="center"/>
        </w:trPr>
        <w:tc>
          <w:tcPr>
            <w:tcW w:w="4032" w:type="dxa"/>
            <w:tcBorders>
              <w:top w:val="nil"/>
              <w:bottom w:val="single" w:sz="4" w:space="0" w:color="auto"/>
            </w:tcBorders>
            <w:tcMar>
              <w:top w:w="70" w:type="dxa"/>
              <w:left w:w="90" w:type="dxa"/>
              <w:bottom w:w="70" w:type="dxa"/>
              <w:right w:w="90" w:type="dxa"/>
            </w:tcMar>
            <w:vAlign w:val="center"/>
          </w:tcPr>
          <w:p w14:paraId="4F25A4F2"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Editorial review</w:t>
            </w:r>
          </w:p>
        </w:tc>
        <w:tc>
          <w:tcPr>
            <w:tcW w:w="1296" w:type="dxa"/>
            <w:tcBorders>
              <w:top w:val="nil"/>
              <w:bottom w:val="single" w:sz="4" w:space="0" w:color="auto"/>
            </w:tcBorders>
            <w:tcMar>
              <w:top w:w="70" w:type="dxa"/>
              <w:left w:w="90" w:type="dxa"/>
              <w:bottom w:w="70" w:type="dxa"/>
              <w:right w:w="90" w:type="dxa"/>
            </w:tcMar>
            <w:vAlign w:val="center"/>
          </w:tcPr>
          <w:p w14:paraId="7235AE14"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1</w:t>
            </w:r>
          </w:p>
        </w:tc>
        <w:tc>
          <w:tcPr>
            <w:tcW w:w="1296" w:type="dxa"/>
            <w:tcBorders>
              <w:top w:val="nil"/>
              <w:bottom w:val="single" w:sz="4" w:space="0" w:color="auto"/>
            </w:tcBorders>
            <w:tcMar>
              <w:top w:w="70" w:type="dxa"/>
              <w:left w:w="90" w:type="dxa"/>
              <w:bottom w:w="70" w:type="dxa"/>
              <w:right w:w="90" w:type="dxa"/>
            </w:tcMar>
            <w:vAlign w:val="center"/>
          </w:tcPr>
          <w:p w14:paraId="10643120"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1</w:t>
            </w:r>
          </w:p>
        </w:tc>
        <w:tc>
          <w:tcPr>
            <w:tcW w:w="2736" w:type="dxa"/>
            <w:tcBorders>
              <w:top w:val="nil"/>
              <w:bottom w:val="single" w:sz="4" w:space="0" w:color="auto"/>
            </w:tcBorders>
            <w:tcMar>
              <w:top w:w="70" w:type="dxa"/>
              <w:left w:w="90" w:type="dxa"/>
              <w:bottom w:w="70" w:type="dxa"/>
              <w:right w:w="90" w:type="dxa"/>
            </w:tcMar>
            <w:vAlign w:val="center"/>
          </w:tcPr>
          <w:p w14:paraId="6EBD55D7"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0.9986</w:t>
            </w:r>
          </w:p>
        </w:tc>
      </w:tr>
    </w:tbl>
    <w:p w14:paraId="52CC4513" w14:textId="77777777" w:rsidR="001846F6" w:rsidRPr="0072247D" w:rsidRDefault="001846F6">
      <w:pPr>
        <w:spacing w:after="0"/>
        <w:rPr>
          <w:rFonts w:ascii="Times New Roman" w:hAnsi="Times New Roman" w:cs="Times New Roman"/>
        </w:rPr>
      </w:pPr>
    </w:p>
    <w:p w14:paraId="0182C28C" w14:textId="77777777" w:rsidR="001846F6" w:rsidRPr="0072247D" w:rsidRDefault="00000000">
      <w:pPr>
        <w:rPr>
          <w:rFonts w:ascii="Times New Roman" w:hAnsi="Times New Roman" w:cs="Times New Roman"/>
        </w:rPr>
      </w:pPr>
      <w:r w:rsidRPr="0072247D">
        <w:rPr>
          <w:rFonts w:ascii="Times New Roman" w:hAnsi="Times New Roman" w:cs="Times New Roman"/>
        </w:rPr>
        <w:t>WHYY’s account of Anthony Niemiec received −0.6316 despite a broadly favorable companionship experience, alongside bereavement and isolation. The Senior List review received +0.9986 despite a critical verdict describing cost, limited conversations, video delays, freezes, and absent emergency response. Background emotion and product evaluation are different targets. Aggregation can also mask opposing passages. These two purposively selected cases demonstrate limitations, not an estimated sentiment error rate. [2,4]</w:t>
      </w:r>
    </w:p>
    <w:p w14:paraId="6C5EE4CD" w14:textId="633911A6" w:rsidR="001846F6" w:rsidRDefault="00000000" w:rsidP="009667E6">
      <w:pPr>
        <w:rPr>
          <w:rFonts w:ascii="Times New Roman" w:eastAsia="宋体" w:hAnsi="Times New Roman" w:cs="Times New Roman"/>
          <w:lang w:eastAsia="zh-CN"/>
        </w:rPr>
      </w:pPr>
      <w:r w:rsidRPr="0072247D">
        <w:rPr>
          <w:rFonts w:ascii="Times New Roman" w:hAnsi="Times New Roman" w:cs="Times New Roman"/>
        </w:rPr>
        <w:t>By dominant LDA topic, Product Features and Use averaged 0.1835 across just two documents, while other topic means ranged from 0.9987 to 0.9997. The low mean reflects the conflicting scores above; it cannot establish that this product segment is viewed more negatively. [2]</w:t>
      </w:r>
    </w:p>
    <w:p w14:paraId="4E83F126" w14:textId="63A5EF6B" w:rsidR="009667E6" w:rsidRPr="009667E6" w:rsidRDefault="009667E6" w:rsidP="009667E6">
      <w:pPr>
        <w:rPr>
          <w:rFonts w:ascii="Times New Roman" w:eastAsia="宋体" w:hAnsi="Times New Roman" w:cs="Times New Roman" w:hint="eastAsia"/>
          <w:b/>
          <w:bCs/>
          <w:sz w:val="24"/>
          <w:szCs w:val="24"/>
          <w:lang w:eastAsia="zh-CN"/>
        </w:rPr>
      </w:pPr>
      <w:r w:rsidRPr="009667E6">
        <w:rPr>
          <w:rFonts w:ascii="Times New Roman" w:eastAsia="宋体" w:hAnsi="Times New Roman" w:cs="Times New Roman"/>
          <w:b/>
          <w:bCs/>
          <w:sz w:val="24"/>
          <w:szCs w:val="24"/>
          <w:lang w:eastAsia="zh-CN"/>
        </w:rPr>
        <w:t>Functional labels and classification quality</w:t>
      </w:r>
    </w:p>
    <w:p w14:paraId="0F7C8692" w14:textId="77777777" w:rsidR="001846F6" w:rsidRPr="0072247D" w:rsidRDefault="00000000">
      <w:pPr>
        <w:rPr>
          <w:rFonts w:ascii="Times New Roman" w:hAnsi="Times New Roman" w:cs="Times New Roman"/>
        </w:rPr>
      </w:pPr>
      <w:r w:rsidRPr="0072247D">
        <w:rPr>
          <w:rFonts w:ascii="Times New Roman" w:hAnsi="Times New Roman" w:cs="Times New Roman"/>
        </w:rPr>
        <w:t>Rules count distinct case-insensitive whole-word or phrase matches and choose a unique highest-scoring category. Ties are Ambiguous; zero matches are Unmatched. Only 12/20 documents received a category (60% coverage): six were ambiguous and two unmatched. AI-assisted, human-reviewed annotations covered all 20 documents. Seven of the 12 assigned labels disagreed with that reference (58.33%). Incidental privacy or Alexa mentions sometimes displaced the article’s main purpose. The audit is not an independent blinded gold standard. [2]</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3600"/>
        <w:gridCol w:w="936"/>
        <w:gridCol w:w="936"/>
        <w:gridCol w:w="936"/>
        <w:gridCol w:w="1008"/>
        <w:gridCol w:w="936"/>
        <w:gridCol w:w="1008"/>
      </w:tblGrid>
      <w:tr w:rsidR="001846F6" w:rsidRPr="0072247D" w14:paraId="412AE32A" w14:textId="77777777" w:rsidTr="009667E6">
        <w:trPr>
          <w:cantSplit/>
          <w:tblHeader/>
          <w:jc w:val="center"/>
        </w:trPr>
        <w:tc>
          <w:tcPr>
            <w:tcW w:w="3600" w:type="dxa"/>
            <w:tcBorders>
              <w:top w:val="single" w:sz="4" w:space="0" w:color="auto"/>
              <w:bottom w:val="single" w:sz="4" w:space="0" w:color="auto"/>
            </w:tcBorders>
            <w:tcMar>
              <w:top w:w="70" w:type="dxa"/>
              <w:left w:w="90" w:type="dxa"/>
              <w:bottom w:w="70" w:type="dxa"/>
              <w:right w:w="90" w:type="dxa"/>
            </w:tcMar>
            <w:vAlign w:val="center"/>
          </w:tcPr>
          <w:p w14:paraId="37435519"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b/>
                <w:sz w:val="18"/>
              </w:rPr>
              <w:t>Functional category</w:t>
            </w:r>
          </w:p>
        </w:tc>
        <w:tc>
          <w:tcPr>
            <w:tcW w:w="936" w:type="dxa"/>
            <w:tcBorders>
              <w:top w:val="single" w:sz="4" w:space="0" w:color="auto"/>
              <w:bottom w:val="single" w:sz="4" w:space="0" w:color="auto"/>
            </w:tcBorders>
            <w:tcMar>
              <w:top w:w="70" w:type="dxa"/>
              <w:left w:w="90" w:type="dxa"/>
              <w:bottom w:w="70" w:type="dxa"/>
              <w:right w:w="90" w:type="dxa"/>
            </w:tcMar>
            <w:vAlign w:val="center"/>
          </w:tcPr>
          <w:p w14:paraId="2D24738E"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8"/>
              </w:rPr>
              <w:t>Manual</w:t>
            </w:r>
            <w:r w:rsidRPr="0072247D">
              <w:rPr>
                <w:rFonts w:ascii="Times New Roman" w:hAnsi="Times New Roman" w:cs="Times New Roman"/>
                <w:b/>
                <w:sz w:val="18"/>
              </w:rPr>
              <w:br/>
              <w:t>n = 20</w:t>
            </w:r>
          </w:p>
        </w:tc>
        <w:tc>
          <w:tcPr>
            <w:tcW w:w="936" w:type="dxa"/>
            <w:tcBorders>
              <w:top w:val="single" w:sz="4" w:space="0" w:color="auto"/>
              <w:bottom w:val="single" w:sz="4" w:space="0" w:color="auto"/>
            </w:tcBorders>
            <w:tcMar>
              <w:top w:w="70" w:type="dxa"/>
              <w:left w:w="90" w:type="dxa"/>
              <w:bottom w:w="70" w:type="dxa"/>
              <w:right w:w="90" w:type="dxa"/>
            </w:tcMar>
            <w:vAlign w:val="center"/>
          </w:tcPr>
          <w:p w14:paraId="6A71CF66"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8"/>
              </w:rPr>
              <w:t>Rule</w:t>
            </w:r>
            <w:r w:rsidRPr="0072247D">
              <w:rPr>
                <w:rFonts w:ascii="Times New Roman" w:hAnsi="Times New Roman" w:cs="Times New Roman"/>
                <w:b/>
                <w:sz w:val="18"/>
              </w:rPr>
              <w:br/>
              <w:t>n = 12</w:t>
            </w:r>
          </w:p>
        </w:tc>
        <w:tc>
          <w:tcPr>
            <w:tcW w:w="936" w:type="dxa"/>
            <w:tcBorders>
              <w:top w:val="single" w:sz="4" w:space="0" w:color="auto"/>
              <w:bottom w:val="single" w:sz="4" w:space="0" w:color="auto"/>
            </w:tcBorders>
            <w:tcMar>
              <w:top w:w="70" w:type="dxa"/>
              <w:left w:w="90" w:type="dxa"/>
              <w:bottom w:w="70" w:type="dxa"/>
              <w:right w:w="90" w:type="dxa"/>
            </w:tcMar>
            <w:vAlign w:val="center"/>
          </w:tcPr>
          <w:p w14:paraId="2B2E5A77"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8"/>
              </w:rPr>
              <w:t>Test</w:t>
            </w:r>
            <w:r w:rsidRPr="0072247D">
              <w:rPr>
                <w:rFonts w:ascii="Times New Roman" w:hAnsi="Times New Roman" w:cs="Times New Roman"/>
                <w:b/>
                <w:sz w:val="18"/>
              </w:rPr>
              <w:br/>
              <w:t>support</w:t>
            </w:r>
          </w:p>
        </w:tc>
        <w:tc>
          <w:tcPr>
            <w:tcW w:w="1008" w:type="dxa"/>
            <w:tcBorders>
              <w:top w:val="single" w:sz="4" w:space="0" w:color="auto"/>
              <w:bottom w:val="single" w:sz="4" w:space="0" w:color="auto"/>
            </w:tcBorders>
            <w:tcMar>
              <w:top w:w="70" w:type="dxa"/>
              <w:left w:w="90" w:type="dxa"/>
              <w:bottom w:w="70" w:type="dxa"/>
              <w:right w:w="90" w:type="dxa"/>
            </w:tcMar>
            <w:vAlign w:val="center"/>
          </w:tcPr>
          <w:p w14:paraId="2C515BFA"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8"/>
              </w:rPr>
              <w:t>Precision</w:t>
            </w:r>
          </w:p>
        </w:tc>
        <w:tc>
          <w:tcPr>
            <w:tcW w:w="936" w:type="dxa"/>
            <w:tcBorders>
              <w:top w:val="single" w:sz="4" w:space="0" w:color="auto"/>
              <w:bottom w:val="single" w:sz="4" w:space="0" w:color="auto"/>
            </w:tcBorders>
            <w:tcMar>
              <w:top w:w="70" w:type="dxa"/>
              <w:left w:w="90" w:type="dxa"/>
              <w:bottom w:w="70" w:type="dxa"/>
              <w:right w:w="90" w:type="dxa"/>
            </w:tcMar>
            <w:vAlign w:val="center"/>
          </w:tcPr>
          <w:p w14:paraId="48424A01"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8"/>
              </w:rPr>
              <w:t>Recall</w:t>
            </w:r>
          </w:p>
        </w:tc>
        <w:tc>
          <w:tcPr>
            <w:tcW w:w="1008" w:type="dxa"/>
            <w:tcBorders>
              <w:top w:val="single" w:sz="4" w:space="0" w:color="auto"/>
              <w:bottom w:val="single" w:sz="4" w:space="0" w:color="auto"/>
            </w:tcBorders>
            <w:tcMar>
              <w:top w:w="70" w:type="dxa"/>
              <w:left w:w="90" w:type="dxa"/>
              <w:bottom w:w="70" w:type="dxa"/>
              <w:right w:w="90" w:type="dxa"/>
            </w:tcMar>
            <w:vAlign w:val="center"/>
          </w:tcPr>
          <w:p w14:paraId="321DED71"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8"/>
              </w:rPr>
              <w:t>F1</w:t>
            </w:r>
          </w:p>
        </w:tc>
      </w:tr>
      <w:tr w:rsidR="001846F6" w:rsidRPr="0072247D" w14:paraId="61AE2E9E" w14:textId="77777777" w:rsidTr="009667E6">
        <w:trPr>
          <w:cantSplit/>
          <w:jc w:val="center"/>
        </w:trPr>
        <w:tc>
          <w:tcPr>
            <w:tcW w:w="3600" w:type="dxa"/>
            <w:tcBorders>
              <w:top w:val="single" w:sz="4" w:space="0" w:color="auto"/>
            </w:tcBorders>
            <w:tcMar>
              <w:top w:w="70" w:type="dxa"/>
              <w:left w:w="90" w:type="dxa"/>
              <w:bottom w:w="70" w:type="dxa"/>
              <w:right w:w="90" w:type="dxa"/>
            </w:tcMar>
            <w:vAlign w:val="center"/>
          </w:tcPr>
          <w:p w14:paraId="2559974E"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8"/>
              </w:rPr>
              <w:t>Product Performance Feedback</w:t>
            </w:r>
          </w:p>
        </w:tc>
        <w:tc>
          <w:tcPr>
            <w:tcW w:w="936" w:type="dxa"/>
            <w:tcBorders>
              <w:top w:val="single" w:sz="4" w:space="0" w:color="auto"/>
            </w:tcBorders>
            <w:tcMar>
              <w:top w:w="70" w:type="dxa"/>
              <w:left w:w="90" w:type="dxa"/>
              <w:bottom w:w="70" w:type="dxa"/>
              <w:right w:w="90" w:type="dxa"/>
            </w:tcMar>
            <w:vAlign w:val="center"/>
          </w:tcPr>
          <w:p w14:paraId="790E4507"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9</w:t>
            </w:r>
          </w:p>
        </w:tc>
        <w:tc>
          <w:tcPr>
            <w:tcW w:w="936" w:type="dxa"/>
            <w:tcBorders>
              <w:top w:val="single" w:sz="4" w:space="0" w:color="auto"/>
            </w:tcBorders>
            <w:tcMar>
              <w:top w:w="70" w:type="dxa"/>
              <w:left w:w="90" w:type="dxa"/>
              <w:bottom w:w="70" w:type="dxa"/>
              <w:right w:w="90" w:type="dxa"/>
            </w:tcMar>
            <w:vAlign w:val="center"/>
          </w:tcPr>
          <w:p w14:paraId="337B1880"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5</w:t>
            </w:r>
          </w:p>
        </w:tc>
        <w:tc>
          <w:tcPr>
            <w:tcW w:w="936" w:type="dxa"/>
            <w:tcBorders>
              <w:top w:val="single" w:sz="4" w:space="0" w:color="auto"/>
            </w:tcBorders>
            <w:tcMar>
              <w:top w:w="70" w:type="dxa"/>
              <w:left w:w="90" w:type="dxa"/>
              <w:bottom w:w="70" w:type="dxa"/>
              <w:right w:w="90" w:type="dxa"/>
            </w:tcMar>
            <w:vAlign w:val="center"/>
          </w:tcPr>
          <w:p w14:paraId="1467C330"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2</w:t>
            </w:r>
          </w:p>
        </w:tc>
        <w:tc>
          <w:tcPr>
            <w:tcW w:w="1008" w:type="dxa"/>
            <w:tcBorders>
              <w:top w:val="single" w:sz="4" w:space="0" w:color="auto"/>
            </w:tcBorders>
            <w:tcMar>
              <w:top w:w="70" w:type="dxa"/>
              <w:left w:w="90" w:type="dxa"/>
              <w:bottom w:w="70" w:type="dxa"/>
              <w:right w:w="90" w:type="dxa"/>
            </w:tcMar>
            <w:vAlign w:val="center"/>
          </w:tcPr>
          <w:p w14:paraId="6BB7D65C"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0.000*</w:t>
            </w:r>
          </w:p>
        </w:tc>
        <w:tc>
          <w:tcPr>
            <w:tcW w:w="936" w:type="dxa"/>
            <w:tcBorders>
              <w:top w:val="single" w:sz="4" w:space="0" w:color="auto"/>
            </w:tcBorders>
            <w:tcMar>
              <w:top w:w="70" w:type="dxa"/>
              <w:left w:w="90" w:type="dxa"/>
              <w:bottom w:w="70" w:type="dxa"/>
              <w:right w:w="90" w:type="dxa"/>
            </w:tcMar>
            <w:vAlign w:val="center"/>
          </w:tcPr>
          <w:p w14:paraId="06A78408"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0.000</w:t>
            </w:r>
          </w:p>
        </w:tc>
        <w:tc>
          <w:tcPr>
            <w:tcW w:w="1008" w:type="dxa"/>
            <w:tcBorders>
              <w:top w:val="single" w:sz="4" w:space="0" w:color="auto"/>
            </w:tcBorders>
            <w:tcMar>
              <w:top w:w="70" w:type="dxa"/>
              <w:left w:w="90" w:type="dxa"/>
              <w:bottom w:w="70" w:type="dxa"/>
              <w:right w:w="90" w:type="dxa"/>
            </w:tcMar>
            <w:vAlign w:val="center"/>
          </w:tcPr>
          <w:p w14:paraId="6380DD14"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0.000</w:t>
            </w:r>
          </w:p>
        </w:tc>
      </w:tr>
      <w:tr w:rsidR="001846F6" w:rsidRPr="0072247D" w14:paraId="54F59EE2" w14:textId="77777777" w:rsidTr="009667E6">
        <w:trPr>
          <w:cantSplit/>
          <w:jc w:val="center"/>
        </w:trPr>
        <w:tc>
          <w:tcPr>
            <w:tcW w:w="3600" w:type="dxa"/>
            <w:tcMar>
              <w:top w:w="70" w:type="dxa"/>
              <w:left w:w="90" w:type="dxa"/>
              <w:bottom w:w="70" w:type="dxa"/>
              <w:right w:w="90" w:type="dxa"/>
            </w:tcMar>
            <w:vAlign w:val="center"/>
          </w:tcPr>
          <w:p w14:paraId="723F41E1"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8"/>
              </w:rPr>
              <w:t>Market Adoption Signal</w:t>
            </w:r>
          </w:p>
        </w:tc>
        <w:tc>
          <w:tcPr>
            <w:tcW w:w="936" w:type="dxa"/>
            <w:tcMar>
              <w:top w:w="70" w:type="dxa"/>
              <w:left w:w="90" w:type="dxa"/>
              <w:bottom w:w="70" w:type="dxa"/>
              <w:right w:w="90" w:type="dxa"/>
            </w:tcMar>
            <w:vAlign w:val="center"/>
          </w:tcPr>
          <w:p w14:paraId="7FCF56CF"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3</w:t>
            </w:r>
          </w:p>
        </w:tc>
        <w:tc>
          <w:tcPr>
            <w:tcW w:w="936" w:type="dxa"/>
            <w:tcMar>
              <w:top w:w="70" w:type="dxa"/>
              <w:left w:w="90" w:type="dxa"/>
              <w:bottom w:w="70" w:type="dxa"/>
              <w:right w:w="90" w:type="dxa"/>
            </w:tcMar>
            <w:vAlign w:val="center"/>
          </w:tcPr>
          <w:p w14:paraId="50424FFD"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2</w:t>
            </w:r>
          </w:p>
        </w:tc>
        <w:tc>
          <w:tcPr>
            <w:tcW w:w="936" w:type="dxa"/>
            <w:tcMar>
              <w:top w:w="70" w:type="dxa"/>
              <w:left w:w="90" w:type="dxa"/>
              <w:bottom w:w="70" w:type="dxa"/>
              <w:right w:w="90" w:type="dxa"/>
            </w:tcMar>
            <w:vAlign w:val="center"/>
          </w:tcPr>
          <w:p w14:paraId="1B038271"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w:t>
            </w:r>
          </w:p>
        </w:tc>
        <w:tc>
          <w:tcPr>
            <w:tcW w:w="1008" w:type="dxa"/>
            <w:tcMar>
              <w:top w:w="70" w:type="dxa"/>
              <w:left w:w="90" w:type="dxa"/>
              <w:bottom w:w="70" w:type="dxa"/>
              <w:right w:w="90" w:type="dxa"/>
            </w:tcMar>
            <w:vAlign w:val="center"/>
          </w:tcPr>
          <w:p w14:paraId="70AFE13F"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0.000*</w:t>
            </w:r>
          </w:p>
        </w:tc>
        <w:tc>
          <w:tcPr>
            <w:tcW w:w="936" w:type="dxa"/>
            <w:tcMar>
              <w:top w:w="70" w:type="dxa"/>
              <w:left w:w="90" w:type="dxa"/>
              <w:bottom w:w="70" w:type="dxa"/>
              <w:right w:w="90" w:type="dxa"/>
            </w:tcMar>
            <w:vAlign w:val="center"/>
          </w:tcPr>
          <w:p w14:paraId="26611092"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0.000*</w:t>
            </w:r>
          </w:p>
        </w:tc>
        <w:tc>
          <w:tcPr>
            <w:tcW w:w="1008" w:type="dxa"/>
            <w:tcMar>
              <w:top w:w="70" w:type="dxa"/>
              <w:left w:w="90" w:type="dxa"/>
              <w:bottom w:w="70" w:type="dxa"/>
              <w:right w:w="90" w:type="dxa"/>
            </w:tcMar>
            <w:vAlign w:val="center"/>
          </w:tcPr>
          <w:p w14:paraId="74C56D0E"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0.000*</w:t>
            </w:r>
          </w:p>
        </w:tc>
      </w:tr>
      <w:tr w:rsidR="001846F6" w:rsidRPr="0072247D" w14:paraId="0941994A" w14:textId="77777777" w:rsidTr="009667E6">
        <w:trPr>
          <w:cantSplit/>
          <w:jc w:val="center"/>
        </w:trPr>
        <w:tc>
          <w:tcPr>
            <w:tcW w:w="3600" w:type="dxa"/>
            <w:tcMar>
              <w:top w:w="70" w:type="dxa"/>
              <w:left w:w="90" w:type="dxa"/>
              <w:bottom w:w="70" w:type="dxa"/>
              <w:right w:w="90" w:type="dxa"/>
            </w:tcMar>
            <w:vAlign w:val="center"/>
          </w:tcPr>
          <w:p w14:paraId="6DDD140C"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8"/>
              </w:rPr>
              <w:t>Competitive Positioning</w:t>
            </w:r>
          </w:p>
        </w:tc>
        <w:tc>
          <w:tcPr>
            <w:tcW w:w="936" w:type="dxa"/>
            <w:tcMar>
              <w:top w:w="70" w:type="dxa"/>
              <w:left w:w="90" w:type="dxa"/>
              <w:bottom w:w="70" w:type="dxa"/>
              <w:right w:w="90" w:type="dxa"/>
            </w:tcMar>
            <w:vAlign w:val="center"/>
          </w:tcPr>
          <w:p w14:paraId="5557094B"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2</w:t>
            </w:r>
          </w:p>
        </w:tc>
        <w:tc>
          <w:tcPr>
            <w:tcW w:w="936" w:type="dxa"/>
            <w:tcMar>
              <w:top w:w="70" w:type="dxa"/>
              <w:left w:w="90" w:type="dxa"/>
              <w:bottom w:w="70" w:type="dxa"/>
              <w:right w:w="90" w:type="dxa"/>
            </w:tcMar>
            <w:vAlign w:val="center"/>
          </w:tcPr>
          <w:p w14:paraId="070C62AF"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3</w:t>
            </w:r>
          </w:p>
        </w:tc>
        <w:tc>
          <w:tcPr>
            <w:tcW w:w="936" w:type="dxa"/>
            <w:tcMar>
              <w:top w:w="70" w:type="dxa"/>
              <w:left w:w="90" w:type="dxa"/>
              <w:bottom w:w="70" w:type="dxa"/>
              <w:right w:w="90" w:type="dxa"/>
            </w:tcMar>
            <w:vAlign w:val="center"/>
          </w:tcPr>
          <w:p w14:paraId="01327E4A"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1</w:t>
            </w:r>
          </w:p>
        </w:tc>
        <w:tc>
          <w:tcPr>
            <w:tcW w:w="1008" w:type="dxa"/>
            <w:tcMar>
              <w:top w:w="70" w:type="dxa"/>
              <w:left w:w="90" w:type="dxa"/>
              <w:bottom w:w="70" w:type="dxa"/>
              <w:right w:w="90" w:type="dxa"/>
            </w:tcMar>
            <w:vAlign w:val="center"/>
          </w:tcPr>
          <w:p w14:paraId="09237E87"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0.333</w:t>
            </w:r>
          </w:p>
        </w:tc>
        <w:tc>
          <w:tcPr>
            <w:tcW w:w="936" w:type="dxa"/>
            <w:tcMar>
              <w:top w:w="70" w:type="dxa"/>
              <w:left w:w="90" w:type="dxa"/>
              <w:bottom w:w="70" w:type="dxa"/>
              <w:right w:w="90" w:type="dxa"/>
            </w:tcMar>
            <w:vAlign w:val="center"/>
          </w:tcPr>
          <w:p w14:paraId="31B9C9E0"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1.000</w:t>
            </w:r>
          </w:p>
        </w:tc>
        <w:tc>
          <w:tcPr>
            <w:tcW w:w="1008" w:type="dxa"/>
            <w:tcMar>
              <w:top w:w="70" w:type="dxa"/>
              <w:left w:w="90" w:type="dxa"/>
              <w:bottom w:w="70" w:type="dxa"/>
              <w:right w:w="90" w:type="dxa"/>
            </w:tcMar>
            <w:vAlign w:val="center"/>
          </w:tcPr>
          <w:p w14:paraId="3F826AA2"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0.500</w:t>
            </w:r>
          </w:p>
        </w:tc>
      </w:tr>
      <w:tr w:rsidR="001846F6" w:rsidRPr="0072247D" w14:paraId="490DEFA7" w14:textId="77777777" w:rsidTr="009667E6">
        <w:trPr>
          <w:cantSplit/>
          <w:jc w:val="center"/>
        </w:trPr>
        <w:tc>
          <w:tcPr>
            <w:tcW w:w="3600" w:type="dxa"/>
            <w:tcMar>
              <w:top w:w="70" w:type="dxa"/>
              <w:left w:w="90" w:type="dxa"/>
              <w:bottom w:w="70" w:type="dxa"/>
              <w:right w:w="90" w:type="dxa"/>
            </w:tcMar>
            <w:vAlign w:val="center"/>
          </w:tcPr>
          <w:p w14:paraId="34A2722B"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8"/>
              </w:rPr>
              <w:t>Regulatory or Safety Concern</w:t>
            </w:r>
          </w:p>
        </w:tc>
        <w:tc>
          <w:tcPr>
            <w:tcW w:w="936" w:type="dxa"/>
            <w:tcMar>
              <w:top w:w="70" w:type="dxa"/>
              <w:left w:w="90" w:type="dxa"/>
              <w:bottom w:w="70" w:type="dxa"/>
              <w:right w:w="90" w:type="dxa"/>
            </w:tcMar>
            <w:vAlign w:val="center"/>
          </w:tcPr>
          <w:p w14:paraId="57029DA2"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2</w:t>
            </w:r>
          </w:p>
        </w:tc>
        <w:tc>
          <w:tcPr>
            <w:tcW w:w="936" w:type="dxa"/>
            <w:tcMar>
              <w:top w:w="70" w:type="dxa"/>
              <w:left w:w="90" w:type="dxa"/>
              <w:bottom w:w="70" w:type="dxa"/>
              <w:right w:w="90" w:type="dxa"/>
            </w:tcMar>
            <w:vAlign w:val="center"/>
          </w:tcPr>
          <w:p w14:paraId="1A662AAB"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2</w:t>
            </w:r>
          </w:p>
        </w:tc>
        <w:tc>
          <w:tcPr>
            <w:tcW w:w="936" w:type="dxa"/>
            <w:tcMar>
              <w:top w:w="70" w:type="dxa"/>
              <w:left w:w="90" w:type="dxa"/>
              <w:bottom w:w="70" w:type="dxa"/>
              <w:right w:w="90" w:type="dxa"/>
            </w:tcMar>
            <w:vAlign w:val="center"/>
          </w:tcPr>
          <w:p w14:paraId="5C7F9B4A"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w:t>
            </w:r>
          </w:p>
        </w:tc>
        <w:tc>
          <w:tcPr>
            <w:tcW w:w="1008" w:type="dxa"/>
            <w:tcMar>
              <w:top w:w="70" w:type="dxa"/>
              <w:left w:w="90" w:type="dxa"/>
              <w:bottom w:w="70" w:type="dxa"/>
              <w:right w:w="90" w:type="dxa"/>
            </w:tcMar>
            <w:vAlign w:val="center"/>
          </w:tcPr>
          <w:p w14:paraId="2675566D"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0.000*</w:t>
            </w:r>
          </w:p>
        </w:tc>
        <w:tc>
          <w:tcPr>
            <w:tcW w:w="936" w:type="dxa"/>
            <w:tcMar>
              <w:top w:w="70" w:type="dxa"/>
              <w:left w:w="90" w:type="dxa"/>
              <w:bottom w:w="70" w:type="dxa"/>
              <w:right w:w="90" w:type="dxa"/>
            </w:tcMar>
            <w:vAlign w:val="center"/>
          </w:tcPr>
          <w:p w14:paraId="7E8166B1"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0.000*</w:t>
            </w:r>
          </w:p>
        </w:tc>
        <w:tc>
          <w:tcPr>
            <w:tcW w:w="1008" w:type="dxa"/>
            <w:tcMar>
              <w:top w:w="70" w:type="dxa"/>
              <w:left w:w="90" w:type="dxa"/>
              <w:bottom w:w="70" w:type="dxa"/>
              <w:right w:w="90" w:type="dxa"/>
            </w:tcMar>
            <w:vAlign w:val="center"/>
          </w:tcPr>
          <w:p w14:paraId="454D7F00"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0.000*</w:t>
            </w:r>
          </w:p>
        </w:tc>
      </w:tr>
      <w:tr w:rsidR="001846F6" w:rsidRPr="0072247D" w14:paraId="5D101317" w14:textId="77777777" w:rsidTr="009667E6">
        <w:trPr>
          <w:cantSplit/>
          <w:jc w:val="center"/>
        </w:trPr>
        <w:tc>
          <w:tcPr>
            <w:tcW w:w="3600" w:type="dxa"/>
            <w:tcMar>
              <w:top w:w="70" w:type="dxa"/>
              <w:left w:w="90" w:type="dxa"/>
              <w:bottom w:w="70" w:type="dxa"/>
              <w:right w:w="90" w:type="dxa"/>
            </w:tcMar>
            <w:vAlign w:val="center"/>
          </w:tcPr>
          <w:p w14:paraId="36AFAC8A"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8"/>
              </w:rPr>
              <w:t>Other / Unclear</w:t>
            </w:r>
          </w:p>
        </w:tc>
        <w:tc>
          <w:tcPr>
            <w:tcW w:w="936" w:type="dxa"/>
            <w:tcMar>
              <w:top w:w="70" w:type="dxa"/>
              <w:left w:w="90" w:type="dxa"/>
              <w:bottom w:w="70" w:type="dxa"/>
              <w:right w:w="90" w:type="dxa"/>
            </w:tcMar>
            <w:vAlign w:val="center"/>
          </w:tcPr>
          <w:p w14:paraId="0C7AFFEE"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4</w:t>
            </w:r>
          </w:p>
        </w:tc>
        <w:tc>
          <w:tcPr>
            <w:tcW w:w="936" w:type="dxa"/>
            <w:tcMar>
              <w:top w:w="70" w:type="dxa"/>
              <w:left w:w="90" w:type="dxa"/>
              <w:bottom w:w="70" w:type="dxa"/>
              <w:right w:w="90" w:type="dxa"/>
            </w:tcMar>
            <w:vAlign w:val="center"/>
          </w:tcPr>
          <w:p w14:paraId="65B9001C"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w:t>
            </w:r>
          </w:p>
        </w:tc>
        <w:tc>
          <w:tcPr>
            <w:tcW w:w="936" w:type="dxa"/>
            <w:tcMar>
              <w:top w:w="70" w:type="dxa"/>
              <w:left w:w="90" w:type="dxa"/>
              <w:bottom w:w="70" w:type="dxa"/>
              <w:right w:w="90" w:type="dxa"/>
            </w:tcMar>
            <w:vAlign w:val="center"/>
          </w:tcPr>
          <w:p w14:paraId="05462A49"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w:t>
            </w:r>
          </w:p>
        </w:tc>
        <w:tc>
          <w:tcPr>
            <w:tcW w:w="1008" w:type="dxa"/>
            <w:tcMar>
              <w:top w:w="70" w:type="dxa"/>
              <w:left w:w="90" w:type="dxa"/>
              <w:bottom w:w="70" w:type="dxa"/>
              <w:right w:w="90" w:type="dxa"/>
            </w:tcMar>
            <w:vAlign w:val="center"/>
          </w:tcPr>
          <w:p w14:paraId="6FD0EC83"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w:t>
            </w:r>
          </w:p>
        </w:tc>
        <w:tc>
          <w:tcPr>
            <w:tcW w:w="936" w:type="dxa"/>
            <w:tcMar>
              <w:top w:w="70" w:type="dxa"/>
              <w:left w:w="90" w:type="dxa"/>
              <w:bottom w:w="70" w:type="dxa"/>
              <w:right w:w="90" w:type="dxa"/>
            </w:tcMar>
            <w:vAlign w:val="center"/>
          </w:tcPr>
          <w:p w14:paraId="3D0E4E0F"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w:t>
            </w:r>
          </w:p>
        </w:tc>
        <w:tc>
          <w:tcPr>
            <w:tcW w:w="1008" w:type="dxa"/>
            <w:tcMar>
              <w:top w:w="70" w:type="dxa"/>
              <w:left w:w="90" w:type="dxa"/>
              <w:bottom w:w="70" w:type="dxa"/>
              <w:right w:w="90" w:type="dxa"/>
            </w:tcMar>
            <w:vAlign w:val="center"/>
          </w:tcPr>
          <w:p w14:paraId="68D561A6"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8"/>
              </w:rPr>
              <w:t>—</w:t>
            </w:r>
          </w:p>
        </w:tc>
      </w:tr>
    </w:tbl>
    <w:p w14:paraId="4CB947E0" w14:textId="77777777" w:rsidR="001846F6" w:rsidRPr="0072247D" w:rsidRDefault="001846F6">
      <w:pPr>
        <w:spacing w:after="0"/>
        <w:rPr>
          <w:rFonts w:ascii="Times New Roman" w:hAnsi="Times New Roman" w:cs="Times New Roman"/>
        </w:rPr>
      </w:pPr>
    </w:p>
    <w:p w14:paraId="7B073324" w14:textId="77777777" w:rsidR="001846F6" w:rsidRPr="0072247D" w:rsidRDefault="00000000">
      <w:pPr>
        <w:rPr>
          <w:rFonts w:ascii="Times New Roman" w:hAnsi="Times New Roman" w:cs="Times New Roman"/>
        </w:rPr>
      </w:pPr>
      <w:r w:rsidRPr="0072247D">
        <w:rPr>
          <w:rFonts w:ascii="Times New Roman" w:hAnsi="Times New Roman" w:cs="Times New Roman"/>
          <w:sz w:val="18"/>
        </w:rPr>
        <w:t>* Undefined metrics are reported as zero. Zero test support provides no observed recall evidence. Other / Unclear is an audit category, not a model target.</w:t>
      </w:r>
    </w:p>
    <w:p w14:paraId="5E41D2F4" w14:textId="77777777" w:rsidR="001846F6" w:rsidRPr="0072247D" w:rsidRDefault="00000000">
      <w:pPr>
        <w:rPr>
          <w:rFonts w:ascii="Times New Roman" w:hAnsi="Times New Roman" w:cs="Times New Roman"/>
        </w:rPr>
      </w:pPr>
      <w:r w:rsidRPr="0072247D">
        <w:rPr>
          <w:rFonts w:ascii="Times New Roman" w:hAnsi="Times New Roman" w:cs="Times New Roman"/>
        </w:rPr>
        <w:t>The requested 80/20 split of 12 eligible documents produced nine training and three test documents (seed 42). Stratification could not place all four classes in three test slots. TF-IDF was fitted only on training text, producing 1,768 features. A Gini Decision Tree with maximum depth 3 achieved 100% training and 33.33% test accuracy against noisy rule labels; all test predictions were Competitive Positioning. Macro F1 was 0.125 across four classes with undefined values set to zero; weighted F1 was 0.167. The only split terms were shift (0.40), foster (0.30), and intention (0.30), suggesting incidental associations. These scores measure reproduction of rules, not validated semantic accuracy. [2,5]</w:t>
      </w:r>
    </w:p>
    <w:p w14:paraId="398830AA" w14:textId="6A2D2957" w:rsidR="009667E6" w:rsidRPr="009667E6" w:rsidRDefault="009667E6">
      <w:pPr>
        <w:rPr>
          <w:rFonts w:ascii="Times New Roman" w:eastAsia="宋体" w:hAnsi="Times New Roman" w:cs="Times New Roman"/>
          <w:b/>
          <w:bCs/>
          <w:sz w:val="24"/>
          <w:szCs w:val="24"/>
          <w:lang w:eastAsia="zh-CN"/>
        </w:rPr>
      </w:pPr>
      <w:r w:rsidRPr="009667E6">
        <w:rPr>
          <w:rFonts w:ascii="Times New Roman" w:eastAsia="宋体" w:hAnsi="Times New Roman" w:cs="Times New Roman"/>
          <w:b/>
          <w:bCs/>
          <w:sz w:val="24"/>
          <w:szCs w:val="24"/>
          <w:lang w:eastAsia="zh-CN"/>
        </w:rPr>
        <w:t>Clustering results</w:t>
      </w:r>
    </w:p>
    <w:p w14:paraId="1BCB4A3C" w14:textId="7AA57BB8" w:rsidR="001846F6" w:rsidRPr="0072247D" w:rsidRDefault="00000000">
      <w:pPr>
        <w:rPr>
          <w:rFonts w:ascii="Times New Roman" w:hAnsi="Times New Roman" w:cs="Times New Roman"/>
        </w:rPr>
      </w:pPr>
      <w:r w:rsidRPr="0072247D">
        <w:rPr>
          <w:rFonts w:ascii="Times New Roman" w:hAnsi="Times New Roman" w:cs="Times New Roman"/>
        </w:rPr>
        <w:t xml:space="preserve">K-Means used the full saved TF-IDF matrix, seed 42, 20 initializations, the Lloyd algorithm, and up to 300 iterations. K = 2–8 was compared with Euclidean silhouette scores. K = 5 ranked highest at 0.0558; scores ranged </w:t>
      </w:r>
      <w:r w:rsidRPr="0072247D">
        <w:rPr>
          <w:rFonts w:ascii="Times New Roman" w:hAnsi="Times New Roman" w:cs="Times New Roman"/>
        </w:rPr>
        <w:lastRenderedPageBreak/>
        <w:t>from 0.0361 to 0.0558. Values near zero indicate weak separation, so these clusters are an exploratory organization of documents. [3,6]</w:t>
      </w:r>
    </w:p>
    <w:p w14:paraId="60EB9E5C" w14:textId="77777777" w:rsidR="001846F6" w:rsidRPr="0072247D" w:rsidRDefault="00000000">
      <w:pPr>
        <w:spacing w:after="0"/>
        <w:rPr>
          <w:rFonts w:ascii="Times New Roman" w:hAnsi="Times New Roman" w:cs="Times New Roman"/>
        </w:rPr>
      </w:pPr>
      <w:r w:rsidRPr="0072247D">
        <w:rPr>
          <w:rFonts w:ascii="Times New Roman" w:hAnsi="Times New Roman" w:cs="Times New Roman"/>
          <w:noProof/>
        </w:rPr>
        <w:drawing>
          <wp:inline distT="0" distB="0" distL="0" distR="0" wp14:anchorId="7B82889D" wp14:editId="59BFE86B">
            <wp:extent cx="6217920" cy="1566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houette_report.png"/>
                    <pic:cNvPicPr/>
                  </pic:nvPicPr>
                  <pic:blipFill>
                    <a:blip r:embed="rId8"/>
                    <a:stretch>
                      <a:fillRect/>
                    </a:stretch>
                  </pic:blipFill>
                  <pic:spPr>
                    <a:xfrm>
                      <a:off x="0" y="0"/>
                      <a:ext cx="6217920" cy="1566561"/>
                    </a:xfrm>
                    <a:prstGeom prst="rect">
                      <a:avLst/>
                    </a:prstGeom>
                  </pic:spPr>
                </pic:pic>
              </a:graphicData>
            </a:graphic>
          </wp:inline>
        </w:drawing>
      </w:r>
    </w:p>
    <w:p w14:paraId="4A2722F6" w14:textId="0C546DEA" w:rsidR="001846F6" w:rsidRPr="0072247D" w:rsidRDefault="00000000">
      <w:pPr>
        <w:pStyle w:val="af7"/>
        <w:rPr>
          <w:rFonts w:ascii="Times New Roman" w:hAnsi="Times New Roman" w:cs="Times New Roman"/>
        </w:rPr>
      </w:pPr>
      <w:r w:rsidRPr="0072247D">
        <w:rPr>
          <w:rFonts w:ascii="Times New Roman" w:hAnsi="Times New Roman" w:cs="Times New Roman"/>
        </w:rPr>
        <w:t>Figure 1</w:t>
      </w:r>
      <w:r w:rsidR="009667E6">
        <w:rPr>
          <w:rFonts w:ascii="宋体" w:eastAsia="宋体" w:hAnsi="宋体" w:cs="宋体" w:hint="eastAsia"/>
          <w:lang w:eastAsia="zh-CN"/>
        </w:rPr>
        <w:t>．</w:t>
      </w:r>
      <w:r w:rsidRPr="0072247D">
        <w:rPr>
          <w:rFonts w:ascii="Times New Roman" w:hAnsi="Times New Roman" w:cs="Times New Roman"/>
        </w:rPr>
        <w:t>Silhouette comparison using notebook scores rounded to four decimals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720"/>
        <w:gridCol w:w="504"/>
        <w:gridCol w:w="3384"/>
        <w:gridCol w:w="4320"/>
      </w:tblGrid>
      <w:tr w:rsidR="001846F6" w:rsidRPr="0072247D" w14:paraId="7DDA6116" w14:textId="77777777" w:rsidTr="00717023">
        <w:trPr>
          <w:cantSplit/>
          <w:tblHeader/>
          <w:jc w:val="center"/>
        </w:trPr>
        <w:tc>
          <w:tcPr>
            <w:tcW w:w="720" w:type="dxa"/>
            <w:tcBorders>
              <w:top w:val="single" w:sz="4" w:space="0" w:color="auto"/>
              <w:bottom w:val="single" w:sz="4" w:space="0" w:color="auto"/>
            </w:tcBorders>
            <w:tcMar>
              <w:top w:w="70" w:type="dxa"/>
              <w:left w:w="90" w:type="dxa"/>
              <w:bottom w:w="70" w:type="dxa"/>
              <w:right w:w="90" w:type="dxa"/>
            </w:tcMar>
            <w:vAlign w:val="center"/>
          </w:tcPr>
          <w:p w14:paraId="5A7514A7"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9"/>
              </w:rPr>
              <w:t>ID</w:t>
            </w:r>
          </w:p>
        </w:tc>
        <w:tc>
          <w:tcPr>
            <w:tcW w:w="504" w:type="dxa"/>
            <w:tcBorders>
              <w:top w:val="single" w:sz="4" w:space="0" w:color="auto"/>
              <w:bottom w:val="single" w:sz="4" w:space="0" w:color="auto"/>
            </w:tcBorders>
            <w:tcMar>
              <w:top w:w="70" w:type="dxa"/>
              <w:left w:w="90" w:type="dxa"/>
              <w:bottom w:w="70" w:type="dxa"/>
              <w:right w:w="90" w:type="dxa"/>
            </w:tcMar>
            <w:vAlign w:val="center"/>
          </w:tcPr>
          <w:p w14:paraId="58A629FA"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b/>
                <w:sz w:val="19"/>
              </w:rPr>
              <w:t>n</w:t>
            </w:r>
          </w:p>
        </w:tc>
        <w:tc>
          <w:tcPr>
            <w:tcW w:w="3384" w:type="dxa"/>
            <w:tcBorders>
              <w:top w:val="single" w:sz="4" w:space="0" w:color="auto"/>
              <w:bottom w:val="single" w:sz="4" w:space="0" w:color="auto"/>
            </w:tcBorders>
            <w:tcMar>
              <w:top w:w="70" w:type="dxa"/>
              <w:left w:w="90" w:type="dxa"/>
              <w:bottom w:w="70" w:type="dxa"/>
              <w:right w:w="90" w:type="dxa"/>
            </w:tcMar>
            <w:vAlign w:val="center"/>
          </w:tcPr>
          <w:p w14:paraId="79A53774"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b/>
                <w:sz w:val="19"/>
              </w:rPr>
              <w:t>Theme and leading terms</w:t>
            </w:r>
          </w:p>
        </w:tc>
        <w:tc>
          <w:tcPr>
            <w:tcW w:w="4320" w:type="dxa"/>
            <w:tcBorders>
              <w:top w:val="single" w:sz="4" w:space="0" w:color="auto"/>
              <w:bottom w:val="single" w:sz="4" w:space="0" w:color="auto"/>
            </w:tcBorders>
            <w:tcMar>
              <w:top w:w="70" w:type="dxa"/>
              <w:left w:w="90" w:type="dxa"/>
              <w:bottom w:w="70" w:type="dxa"/>
              <w:right w:w="90" w:type="dxa"/>
            </w:tcMar>
            <w:vAlign w:val="center"/>
          </w:tcPr>
          <w:p w14:paraId="524D62F6"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b/>
                <w:sz w:val="19"/>
              </w:rPr>
              <w:t>Representative documents</w:t>
            </w:r>
          </w:p>
        </w:tc>
      </w:tr>
      <w:tr w:rsidR="001846F6" w:rsidRPr="0072247D" w14:paraId="566A17A4" w14:textId="77777777" w:rsidTr="00717023">
        <w:trPr>
          <w:cantSplit/>
          <w:jc w:val="center"/>
        </w:trPr>
        <w:tc>
          <w:tcPr>
            <w:tcW w:w="720" w:type="dxa"/>
            <w:tcBorders>
              <w:top w:val="single" w:sz="4" w:space="0" w:color="auto"/>
            </w:tcBorders>
            <w:tcMar>
              <w:top w:w="70" w:type="dxa"/>
              <w:left w:w="90" w:type="dxa"/>
              <w:bottom w:w="70" w:type="dxa"/>
              <w:right w:w="90" w:type="dxa"/>
            </w:tcMar>
            <w:vAlign w:val="center"/>
          </w:tcPr>
          <w:p w14:paraId="3DCB9482"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0</w:t>
            </w:r>
          </w:p>
        </w:tc>
        <w:tc>
          <w:tcPr>
            <w:tcW w:w="504" w:type="dxa"/>
            <w:tcBorders>
              <w:top w:val="single" w:sz="4" w:space="0" w:color="auto"/>
            </w:tcBorders>
            <w:tcMar>
              <w:top w:w="70" w:type="dxa"/>
              <w:left w:w="90" w:type="dxa"/>
              <w:bottom w:w="70" w:type="dxa"/>
              <w:right w:w="90" w:type="dxa"/>
            </w:tcMar>
            <w:vAlign w:val="center"/>
          </w:tcPr>
          <w:p w14:paraId="460D2175"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1</w:t>
            </w:r>
          </w:p>
        </w:tc>
        <w:tc>
          <w:tcPr>
            <w:tcW w:w="3384" w:type="dxa"/>
            <w:tcBorders>
              <w:top w:val="single" w:sz="4" w:space="0" w:color="auto"/>
            </w:tcBorders>
            <w:tcMar>
              <w:top w:w="70" w:type="dxa"/>
              <w:left w:w="90" w:type="dxa"/>
              <w:bottom w:w="70" w:type="dxa"/>
              <w:right w:w="90" w:type="dxa"/>
            </w:tcMar>
            <w:vAlign w:val="center"/>
          </w:tcPr>
          <w:p w14:paraId="00C9645E"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Robotic Pets and Wellbeing</w:t>
            </w:r>
            <w:r w:rsidRPr="0072247D">
              <w:rPr>
                <w:rFonts w:ascii="Times New Roman" w:hAnsi="Times New Roman" w:cs="Times New Roman"/>
                <w:sz w:val="19"/>
              </w:rPr>
              <w:br/>
              <w:t>dog, cat, robotic</w:t>
            </w:r>
          </w:p>
        </w:tc>
        <w:tc>
          <w:tcPr>
            <w:tcW w:w="4320" w:type="dxa"/>
            <w:tcBorders>
              <w:top w:val="single" w:sz="4" w:space="0" w:color="auto"/>
            </w:tcBorders>
            <w:tcMar>
              <w:top w:w="70" w:type="dxa"/>
              <w:left w:w="90" w:type="dxa"/>
              <w:bottom w:w="70" w:type="dxa"/>
              <w:right w:w="90" w:type="dxa"/>
            </w:tcMar>
            <w:vAlign w:val="center"/>
          </w:tcPr>
          <w:p w14:paraId="491C1BFA"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AARP — The Benefits of Robotic Pets for Dementia, Loneliness</w:t>
            </w:r>
          </w:p>
        </w:tc>
      </w:tr>
      <w:tr w:rsidR="001846F6" w:rsidRPr="0072247D" w14:paraId="6E1C2100" w14:textId="77777777" w:rsidTr="00717023">
        <w:trPr>
          <w:cantSplit/>
          <w:jc w:val="center"/>
        </w:trPr>
        <w:tc>
          <w:tcPr>
            <w:tcW w:w="720" w:type="dxa"/>
            <w:tcMar>
              <w:top w:w="70" w:type="dxa"/>
              <w:left w:w="90" w:type="dxa"/>
              <w:bottom w:w="70" w:type="dxa"/>
              <w:right w:w="90" w:type="dxa"/>
            </w:tcMar>
            <w:vAlign w:val="center"/>
          </w:tcPr>
          <w:p w14:paraId="3F19E15E"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1</w:t>
            </w:r>
          </w:p>
        </w:tc>
        <w:tc>
          <w:tcPr>
            <w:tcW w:w="504" w:type="dxa"/>
            <w:tcMar>
              <w:top w:w="70" w:type="dxa"/>
              <w:left w:w="90" w:type="dxa"/>
              <w:bottom w:w="70" w:type="dxa"/>
              <w:right w:w="90" w:type="dxa"/>
            </w:tcMar>
            <w:vAlign w:val="center"/>
          </w:tcPr>
          <w:p w14:paraId="5EE7B77A"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10</w:t>
            </w:r>
          </w:p>
        </w:tc>
        <w:tc>
          <w:tcPr>
            <w:tcW w:w="3384" w:type="dxa"/>
            <w:tcMar>
              <w:top w:w="70" w:type="dxa"/>
              <w:left w:w="90" w:type="dxa"/>
              <w:bottom w:w="70" w:type="dxa"/>
              <w:right w:w="90" w:type="dxa"/>
            </w:tcMar>
            <w:vAlign w:val="center"/>
          </w:tcPr>
          <w:p w14:paraId="7A76A579"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Caregiver Support and Aging at Home</w:t>
            </w:r>
            <w:r w:rsidRPr="0072247D">
              <w:rPr>
                <w:rFonts w:ascii="Times New Roman" w:hAnsi="Times New Roman" w:cs="Times New Roman"/>
                <w:sz w:val="19"/>
              </w:rPr>
              <w:br/>
              <w:t>parent, support, senior</w:t>
            </w:r>
          </w:p>
        </w:tc>
        <w:tc>
          <w:tcPr>
            <w:tcW w:w="4320" w:type="dxa"/>
            <w:tcMar>
              <w:top w:w="70" w:type="dxa"/>
              <w:left w:w="90" w:type="dxa"/>
              <w:bottom w:w="70" w:type="dxa"/>
              <w:right w:w="90" w:type="dxa"/>
            </w:tcMar>
            <w:vAlign w:val="center"/>
          </w:tcPr>
          <w:p w14:paraId="34B71136"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ElliQ — How to Help an Aging Parent Stay Socially Connected; AI in Caregiving: What It Can and Can’t Do; How Technology Is Changing Caregiving at Home</w:t>
            </w:r>
          </w:p>
        </w:tc>
      </w:tr>
      <w:tr w:rsidR="001846F6" w:rsidRPr="0072247D" w14:paraId="79DCF636" w14:textId="77777777" w:rsidTr="00717023">
        <w:trPr>
          <w:cantSplit/>
          <w:jc w:val="center"/>
        </w:trPr>
        <w:tc>
          <w:tcPr>
            <w:tcW w:w="720" w:type="dxa"/>
            <w:tcMar>
              <w:top w:w="70" w:type="dxa"/>
              <w:left w:w="90" w:type="dxa"/>
              <w:bottom w:w="70" w:type="dxa"/>
              <w:right w:w="90" w:type="dxa"/>
            </w:tcMar>
            <w:vAlign w:val="center"/>
          </w:tcPr>
          <w:p w14:paraId="482AFBC7"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2</w:t>
            </w:r>
          </w:p>
        </w:tc>
        <w:tc>
          <w:tcPr>
            <w:tcW w:w="504" w:type="dxa"/>
            <w:tcMar>
              <w:top w:w="70" w:type="dxa"/>
              <w:left w:w="90" w:type="dxa"/>
              <w:bottom w:w="70" w:type="dxa"/>
              <w:right w:w="90" w:type="dxa"/>
            </w:tcMar>
            <w:vAlign w:val="center"/>
          </w:tcPr>
          <w:p w14:paraId="3409E805"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3</w:t>
            </w:r>
          </w:p>
        </w:tc>
        <w:tc>
          <w:tcPr>
            <w:tcW w:w="3384" w:type="dxa"/>
            <w:tcMar>
              <w:top w:w="70" w:type="dxa"/>
              <w:left w:w="90" w:type="dxa"/>
              <w:bottom w:w="70" w:type="dxa"/>
              <w:right w:w="90" w:type="dxa"/>
            </w:tcMar>
            <w:vAlign w:val="center"/>
          </w:tcPr>
          <w:p w14:paraId="7B16E2C7"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Care Technology, Design and Ethics</w:t>
            </w:r>
            <w:r w:rsidRPr="0072247D">
              <w:rPr>
                <w:rFonts w:ascii="Times New Roman" w:hAnsi="Times New Roman" w:cs="Times New Roman"/>
                <w:sz w:val="19"/>
              </w:rPr>
              <w:br/>
              <w:t>worker, bot, care</w:t>
            </w:r>
          </w:p>
        </w:tc>
        <w:tc>
          <w:tcPr>
            <w:tcW w:w="4320" w:type="dxa"/>
            <w:tcMar>
              <w:top w:w="70" w:type="dxa"/>
              <w:left w:w="90" w:type="dxa"/>
              <w:bottom w:w="70" w:type="dxa"/>
              <w:right w:w="90" w:type="dxa"/>
            </w:tcMar>
            <w:vAlign w:val="center"/>
          </w:tcPr>
          <w:p w14:paraId="3806D9C4"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The Guardian — Care bots: a dream for carers or a dangerous fantasy?; Care bots are on the rise and replacing human caregivers; InGen Dynamics — Fari</w:t>
            </w:r>
          </w:p>
        </w:tc>
      </w:tr>
      <w:tr w:rsidR="001846F6" w:rsidRPr="0072247D" w14:paraId="6CCAACAE" w14:textId="77777777" w:rsidTr="00717023">
        <w:trPr>
          <w:cantSplit/>
          <w:jc w:val="center"/>
        </w:trPr>
        <w:tc>
          <w:tcPr>
            <w:tcW w:w="720" w:type="dxa"/>
            <w:tcMar>
              <w:top w:w="70" w:type="dxa"/>
              <w:left w:w="90" w:type="dxa"/>
              <w:bottom w:w="70" w:type="dxa"/>
              <w:right w:w="90" w:type="dxa"/>
            </w:tcMar>
            <w:vAlign w:val="center"/>
          </w:tcPr>
          <w:p w14:paraId="2CDE76CC"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3</w:t>
            </w:r>
          </w:p>
        </w:tc>
        <w:tc>
          <w:tcPr>
            <w:tcW w:w="504" w:type="dxa"/>
            <w:tcMar>
              <w:top w:w="70" w:type="dxa"/>
              <w:left w:w="90" w:type="dxa"/>
              <w:bottom w:w="70" w:type="dxa"/>
              <w:right w:w="90" w:type="dxa"/>
            </w:tcMar>
            <w:vAlign w:val="center"/>
          </w:tcPr>
          <w:p w14:paraId="6D802947"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2</w:t>
            </w:r>
          </w:p>
        </w:tc>
        <w:tc>
          <w:tcPr>
            <w:tcW w:w="3384" w:type="dxa"/>
            <w:tcMar>
              <w:top w:w="70" w:type="dxa"/>
              <w:left w:w="90" w:type="dxa"/>
              <w:bottom w:w="70" w:type="dxa"/>
              <w:right w:w="90" w:type="dxa"/>
            </w:tcMar>
            <w:vAlign w:val="center"/>
          </w:tcPr>
          <w:p w14:paraId="68BC7955"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NYSOFA Deployment and Pilot Reporting</w:t>
            </w:r>
            <w:r w:rsidRPr="0072247D">
              <w:rPr>
                <w:rFonts w:ascii="Times New Roman" w:hAnsi="Times New Roman" w:cs="Times New Roman"/>
                <w:sz w:val="19"/>
              </w:rPr>
              <w:br/>
              <w:t>nysofa, york, intuition</w:t>
            </w:r>
          </w:p>
        </w:tc>
        <w:tc>
          <w:tcPr>
            <w:tcW w:w="4320" w:type="dxa"/>
            <w:tcMar>
              <w:top w:w="70" w:type="dxa"/>
              <w:left w:w="90" w:type="dxa"/>
              <w:bottom w:w="70" w:type="dxa"/>
              <w:right w:w="90" w:type="dxa"/>
            </w:tcMar>
            <w:vAlign w:val="center"/>
          </w:tcPr>
          <w:p w14:paraId="2187AB7D"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NYS Government Press Releases — NYSOFA introduces ElliQ to older adults in New York; NYSOFA reports ElliQ pilot outcomes and partnership continuation</w:t>
            </w:r>
          </w:p>
        </w:tc>
      </w:tr>
      <w:tr w:rsidR="001846F6" w:rsidRPr="0072247D" w14:paraId="27D7BEE9" w14:textId="77777777" w:rsidTr="00717023">
        <w:trPr>
          <w:cantSplit/>
          <w:jc w:val="center"/>
        </w:trPr>
        <w:tc>
          <w:tcPr>
            <w:tcW w:w="720" w:type="dxa"/>
            <w:tcMar>
              <w:top w:w="70" w:type="dxa"/>
              <w:left w:w="90" w:type="dxa"/>
              <w:bottom w:w="70" w:type="dxa"/>
              <w:right w:w="90" w:type="dxa"/>
            </w:tcMar>
            <w:vAlign w:val="center"/>
          </w:tcPr>
          <w:p w14:paraId="364F79FC"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4</w:t>
            </w:r>
          </w:p>
        </w:tc>
        <w:tc>
          <w:tcPr>
            <w:tcW w:w="504" w:type="dxa"/>
            <w:tcMar>
              <w:top w:w="70" w:type="dxa"/>
              <w:left w:w="90" w:type="dxa"/>
              <w:bottom w:w="70" w:type="dxa"/>
              <w:right w:w="90" w:type="dxa"/>
            </w:tcMar>
            <w:vAlign w:val="center"/>
          </w:tcPr>
          <w:p w14:paraId="22078C3E" w14:textId="77777777" w:rsidR="001846F6" w:rsidRPr="0072247D" w:rsidRDefault="00000000">
            <w:pPr>
              <w:spacing w:after="0" w:line="240" w:lineRule="auto"/>
              <w:jc w:val="center"/>
              <w:rPr>
                <w:rFonts w:ascii="Times New Roman" w:hAnsi="Times New Roman" w:cs="Times New Roman"/>
              </w:rPr>
            </w:pPr>
            <w:r w:rsidRPr="0072247D">
              <w:rPr>
                <w:rFonts w:ascii="Times New Roman" w:hAnsi="Times New Roman" w:cs="Times New Roman"/>
                <w:sz w:val="19"/>
              </w:rPr>
              <w:t>4</w:t>
            </w:r>
          </w:p>
        </w:tc>
        <w:tc>
          <w:tcPr>
            <w:tcW w:w="3384" w:type="dxa"/>
            <w:tcMar>
              <w:top w:w="70" w:type="dxa"/>
              <w:left w:w="90" w:type="dxa"/>
              <w:bottom w:w="70" w:type="dxa"/>
              <w:right w:w="90" w:type="dxa"/>
            </w:tcMar>
            <w:vAlign w:val="center"/>
          </w:tcPr>
          <w:p w14:paraId="169BFC3F"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ElliQ Product Reporting and User Experience</w:t>
            </w:r>
            <w:r w:rsidRPr="0072247D">
              <w:rPr>
                <w:rFonts w:ascii="Times New Roman" w:hAnsi="Times New Roman" w:cs="Times New Roman"/>
                <w:sz w:val="19"/>
              </w:rPr>
              <w:br/>
              <w:t>robot, however, intuition</w:t>
            </w:r>
          </w:p>
        </w:tc>
        <w:tc>
          <w:tcPr>
            <w:tcW w:w="4320" w:type="dxa"/>
            <w:tcMar>
              <w:top w:w="70" w:type="dxa"/>
              <w:left w:w="90" w:type="dxa"/>
              <w:bottom w:w="70" w:type="dxa"/>
              <w:right w:w="90" w:type="dxa"/>
            </w:tcMar>
            <w:vAlign w:val="center"/>
          </w:tcPr>
          <w:p w14:paraId="7928A891" w14:textId="77777777" w:rsidR="001846F6" w:rsidRPr="0072247D" w:rsidRDefault="00000000">
            <w:pPr>
              <w:spacing w:after="0" w:line="240" w:lineRule="auto"/>
              <w:rPr>
                <w:rFonts w:ascii="Times New Roman" w:hAnsi="Times New Roman" w:cs="Times New Roman"/>
              </w:rPr>
            </w:pPr>
            <w:r w:rsidRPr="0072247D">
              <w:rPr>
                <w:rFonts w:ascii="Times New Roman" w:hAnsi="Times New Roman" w:cs="Times New Roman"/>
                <w:sz w:val="19"/>
              </w:rPr>
              <w:t>The Senior List — ElliQ Review; The Guardian — ElliQ is 93-year-old Juanita’s friend; IEEE Spectrum — ElliQ Now Available for Pre-Order</w:t>
            </w:r>
          </w:p>
        </w:tc>
      </w:tr>
    </w:tbl>
    <w:p w14:paraId="1AC3AA6B" w14:textId="77777777" w:rsidR="001846F6" w:rsidRPr="0072247D" w:rsidRDefault="001846F6">
      <w:pPr>
        <w:spacing w:after="0"/>
        <w:rPr>
          <w:rFonts w:ascii="Times New Roman" w:hAnsi="Times New Roman" w:cs="Times New Roman"/>
        </w:rPr>
      </w:pPr>
    </w:p>
    <w:p w14:paraId="5F6D8012" w14:textId="77777777" w:rsidR="001846F6" w:rsidRPr="0072247D" w:rsidRDefault="00000000">
      <w:pPr>
        <w:pStyle w:val="af7"/>
        <w:rPr>
          <w:rFonts w:ascii="Times New Roman" w:hAnsi="Times New Roman" w:cs="Times New Roman"/>
        </w:rPr>
      </w:pPr>
      <w:r w:rsidRPr="0072247D">
        <w:rPr>
          <w:rFonts w:ascii="Times New Roman" w:hAnsi="Times New Roman" w:cs="Times New Roman"/>
        </w:rPr>
        <w:t>Representatives are the nearest one to three documents to each centroid. The singleton contains its entire cluster, so zero centroid distance is automatic. The table abbreviates some article titles; full titles and IDs are retained in the notebook and exports. [3]</w:t>
      </w:r>
    </w:p>
    <w:p w14:paraId="3DAC5F1C" w14:textId="2774AA43" w:rsidR="00717023" w:rsidRPr="00717023" w:rsidRDefault="00717023">
      <w:pPr>
        <w:rPr>
          <w:rFonts w:ascii="Times New Roman" w:eastAsia="宋体" w:hAnsi="Times New Roman" w:cs="Times New Roman"/>
          <w:b/>
          <w:bCs/>
          <w:sz w:val="24"/>
          <w:szCs w:val="24"/>
          <w:lang w:eastAsia="zh-CN"/>
        </w:rPr>
      </w:pPr>
      <w:r w:rsidRPr="00717023">
        <w:rPr>
          <w:rFonts w:ascii="Times New Roman" w:eastAsia="宋体" w:hAnsi="Times New Roman" w:cs="Times New Roman"/>
          <w:b/>
          <w:bCs/>
          <w:sz w:val="24"/>
          <w:szCs w:val="24"/>
          <w:lang w:eastAsia="zh-CN"/>
        </w:rPr>
        <w:t>Content and source effects</w:t>
      </w:r>
    </w:p>
    <w:p w14:paraId="02CEF93E" w14:textId="4C9CFD40" w:rsidR="001846F6" w:rsidRPr="0072247D" w:rsidRDefault="00000000">
      <w:pPr>
        <w:rPr>
          <w:rFonts w:ascii="Times New Roman" w:hAnsi="Times New Roman" w:cs="Times New Roman"/>
        </w:rPr>
      </w:pPr>
      <w:r w:rsidRPr="0072247D">
        <w:rPr>
          <w:rFonts w:ascii="Times New Roman" w:hAnsi="Times New Roman" w:cs="Times New Roman"/>
        </w:rPr>
        <w:t>Cluster 1 contains ten company documents, including nine assigned to the caregiver LDA topic. Cluster 3 contains both government releases, which LDA also placed in caregiver support. This separates institutional reporting within the broader theme. Cluster 2 combines two critical Guardian articles with Fari’s technical description and spans three LDA topics. Their shared care and systems vocabulary does not imply agreement. Cluster 4 combines the product-feature and social-companionship topics. [3]</w:t>
      </w:r>
    </w:p>
    <w:p w14:paraId="7EC5CD34" w14:textId="77777777" w:rsidR="00717023" w:rsidRDefault="00000000" w:rsidP="00717023">
      <w:pPr>
        <w:rPr>
          <w:rFonts w:ascii="Times New Roman" w:eastAsia="宋体" w:hAnsi="Times New Roman" w:cs="Times New Roman"/>
          <w:lang w:eastAsia="zh-CN"/>
        </w:rPr>
      </w:pPr>
      <w:r w:rsidRPr="0072247D">
        <w:rPr>
          <w:rFonts w:ascii="Times New Roman" w:hAnsi="Times New Roman" w:cs="Times New Roman"/>
        </w:rPr>
        <w:t>The business reading differs by group. Cluster 0 suggests benchmarking simple companion devices; Cluster 1 identifies caregiver benefits to test. Cluster 2 calls for scrutiny of technical claims and care responsibilities. Cluster 3 points to pilot design and adoption processes, while Cluster 4 provides usability questions from reported experiences. Cluster size measures this collection’s composition, not market size or demand. [3]</w:t>
      </w:r>
    </w:p>
    <w:p w14:paraId="0B788921" w14:textId="2E03F001" w:rsidR="00717023" w:rsidRPr="00717023" w:rsidRDefault="00717023" w:rsidP="00717023">
      <w:pPr>
        <w:rPr>
          <w:rFonts w:ascii="Times New Roman" w:eastAsia="宋体" w:hAnsi="Times New Roman" w:cs="Times New Roman"/>
          <w:b/>
          <w:bCs/>
          <w:sz w:val="24"/>
          <w:szCs w:val="24"/>
          <w:lang w:eastAsia="zh-CN"/>
        </w:rPr>
      </w:pPr>
      <w:r w:rsidRPr="00717023">
        <w:rPr>
          <w:rFonts w:ascii="Times New Roman" w:eastAsia="宋体" w:hAnsi="Times New Roman" w:cs="Times New Roman"/>
          <w:b/>
          <w:bCs/>
          <w:sz w:val="24"/>
          <w:szCs w:val="24"/>
          <w:lang w:eastAsia="zh-CN"/>
        </w:rPr>
        <w:t>Two actions for the Fari platform</w:t>
      </w:r>
    </w:p>
    <w:p w14:paraId="19316341" w14:textId="12595C36" w:rsidR="001846F6" w:rsidRPr="00717023" w:rsidRDefault="00000000" w:rsidP="00717023">
      <w:pPr>
        <w:pStyle w:val="ae"/>
        <w:numPr>
          <w:ilvl w:val="0"/>
          <w:numId w:val="12"/>
        </w:numPr>
        <w:rPr>
          <w:rFonts w:ascii="Times New Roman" w:hAnsi="Times New Roman" w:cs="Times New Roman"/>
          <w:b/>
          <w:bCs/>
        </w:rPr>
      </w:pPr>
      <w:r w:rsidRPr="00717023">
        <w:rPr>
          <w:rFonts w:ascii="Times New Roman" w:hAnsi="Times New Roman" w:cs="Times New Roman"/>
          <w:b/>
          <w:bCs/>
        </w:rPr>
        <w:t>Test the caregiver use cases before broadening claims</w:t>
      </w:r>
    </w:p>
    <w:p w14:paraId="6242875F" w14:textId="08265FDA" w:rsidR="001846F6" w:rsidRDefault="00000000" w:rsidP="00717023">
      <w:pPr>
        <w:rPr>
          <w:rFonts w:ascii="Times New Roman" w:eastAsia="宋体" w:hAnsi="Times New Roman" w:cs="Times New Roman"/>
          <w:lang w:eastAsia="zh-CN"/>
        </w:rPr>
      </w:pPr>
      <w:r w:rsidRPr="0072247D">
        <w:rPr>
          <w:rFonts w:ascii="Times New Roman" w:hAnsi="Times New Roman" w:cs="Times New Roman"/>
        </w:rPr>
        <w:t xml:space="preserve">Caregiver and Family Support dominates LDA (12/20), and the ten-document K-Means caregiver cluster is entirely company-authored. This identifies prominent messaging but leaves demand unverified. I recommend a small, consented Fari feasibility pilot with older adults and caregivers, covering reminders, daily interaction, and family updates as capabilities permit. Record task completion, continued use, and caregiver time spent operating or </w:t>
      </w:r>
      <w:r w:rsidRPr="0072247D">
        <w:rPr>
          <w:rFonts w:ascii="Times New Roman" w:hAnsi="Times New Roman" w:cs="Times New Roman"/>
        </w:rPr>
        <w:lastRenderedPageBreak/>
        <w:t>correcting the system. Collect reasons for nonuse and compare outcomes with each participant’s baseline routine. Use the findings to prioritize functions and revise messaging; do not infer clinical efficacy from this exercise. [1–3]</w:t>
      </w:r>
    </w:p>
    <w:p w14:paraId="5465D7CC" w14:textId="19E61F20" w:rsidR="00717023" w:rsidRPr="00717023" w:rsidRDefault="00717023" w:rsidP="00717023">
      <w:pPr>
        <w:pStyle w:val="ae"/>
        <w:numPr>
          <w:ilvl w:val="0"/>
          <w:numId w:val="12"/>
        </w:numPr>
        <w:rPr>
          <w:rFonts w:ascii="Times New Roman" w:eastAsia="宋体" w:hAnsi="Times New Roman" w:cs="Times New Roman" w:hint="eastAsia"/>
          <w:b/>
          <w:bCs/>
          <w:lang w:eastAsia="zh-CN"/>
        </w:rPr>
      </w:pPr>
      <w:r w:rsidRPr="00717023">
        <w:rPr>
          <w:rFonts w:ascii="Times New Roman" w:eastAsia="宋体" w:hAnsi="Times New Roman" w:cs="Times New Roman"/>
          <w:b/>
          <w:bCs/>
          <w:lang w:eastAsia="zh-CN"/>
        </w:rPr>
        <w:t>Publish capability evidence and test care boundaries</w:t>
      </w:r>
    </w:p>
    <w:p w14:paraId="2D5025FF" w14:textId="77777777" w:rsidR="001846F6" w:rsidRPr="0072247D" w:rsidRDefault="00000000">
      <w:pPr>
        <w:rPr>
          <w:rFonts w:ascii="Times New Roman" w:hAnsi="Times New Roman" w:cs="Times New Roman"/>
        </w:rPr>
      </w:pPr>
      <w:r w:rsidRPr="0072247D">
        <w:rPr>
          <w:rFonts w:ascii="Times New Roman" w:hAnsi="Times New Roman" w:cs="Times New Roman"/>
        </w:rPr>
        <w:t>Fari’s design page clusters with care-automation criticism, while the Senior List case shows how aggregate sentiment can hide concrete reliability concerns. I recommend a Fari capability register linking every public claim to its status: planned, demonstrated under stated conditions, or evaluated in a pilot. Prioritize scenario tests for failed conversations, communication delays, and caregiver alerts. Record failures, latency, required human intervention, consent controls, and data handling. Publish explicit limits on emergency support and human responsibility. Success means claims have traceable evidence and unresolved failures have documented limits or corrective work before wider communication. [2,3]</w:t>
      </w:r>
    </w:p>
    <w:p w14:paraId="38D4007D" w14:textId="57E99921" w:rsidR="00717023" w:rsidRPr="00717023" w:rsidRDefault="00717023">
      <w:pPr>
        <w:rPr>
          <w:rFonts w:ascii="Times New Roman" w:eastAsia="宋体" w:hAnsi="Times New Roman" w:cs="Times New Roman"/>
          <w:b/>
          <w:bCs/>
          <w:sz w:val="24"/>
          <w:szCs w:val="24"/>
          <w:lang w:eastAsia="zh-CN"/>
        </w:rPr>
      </w:pPr>
      <w:r w:rsidRPr="00717023">
        <w:rPr>
          <w:rFonts w:ascii="Times New Roman" w:eastAsia="宋体" w:hAnsi="Times New Roman" w:cs="Times New Roman"/>
          <w:b/>
          <w:bCs/>
          <w:sz w:val="24"/>
          <w:szCs w:val="24"/>
          <w:lang w:eastAsia="zh-CN"/>
        </w:rPr>
        <w:t>Limits and next analysis</w:t>
      </w:r>
    </w:p>
    <w:p w14:paraId="6B91D3C2" w14:textId="49901DCC" w:rsidR="001846F6" w:rsidRPr="0072247D" w:rsidRDefault="00000000">
      <w:pPr>
        <w:rPr>
          <w:rFonts w:ascii="Times New Roman" w:hAnsi="Times New Roman" w:cs="Times New Roman"/>
        </w:rPr>
      </w:pPr>
      <w:r w:rsidRPr="0072247D">
        <w:rPr>
          <w:rFonts w:ascii="Times New Roman" w:hAnsi="Times New Roman" w:cs="Times New Roman"/>
        </w:rPr>
        <w:t>Twenty articles, 55% company content, one editorial review, and one Fari page cannot estimate broader public opinion or Fari customer satisfaction. Published anecdotes and program claims do not establish causality. Three test documents make accuracy move by 33.33 percentage points per result; two classes have no test support. The annotation reference is subjective and AI-assisted. Future analysis should broaden publishers and user perspectives, independently review the codebook and labels, preserve a separate evaluation set, and examine product-specific passages. Topic and cluster stability across seeds and corpus changes remains untested. [1–3]</w:t>
      </w:r>
    </w:p>
    <w:p w14:paraId="455FED55" w14:textId="43ED725C" w:rsidR="00717023" w:rsidRPr="00717023" w:rsidRDefault="00717023">
      <w:pPr>
        <w:rPr>
          <w:rFonts w:ascii="Times New Roman" w:eastAsia="宋体" w:hAnsi="Times New Roman" w:cs="Times New Roman"/>
          <w:b/>
          <w:bCs/>
          <w:lang w:eastAsia="zh-CN"/>
        </w:rPr>
      </w:pPr>
      <w:r w:rsidRPr="00717023">
        <w:rPr>
          <w:rFonts w:ascii="Times New Roman" w:eastAsia="宋体" w:hAnsi="Times New Roman" w:cs="Times New Roman"/>
          <w:b/>
          <w:bCs/>
          <w:lang w:eastAsia="zh-CN"/>
        </w:rPr>
        <w:t>Reproducibility and analytical records</w:t>
      </w:r>
    </w:p>
    <w:p w14:paraId="3F61C800" w14:textId="37C96CCE" w:rsidR="001846F6" w:rsidRPr="0072247D" w:rsidRDefault="00000000">
      <w:pPr>
        <w:rPr>
          <w:rFonts w:ascii="Times New Roman" w:hAnsi="Times New Roman" w:cs="Times New Roman"/>
        </w:rPr>
      </w:pPr>
      <w:r w:rsidRPr="0072247D">
        <w:rPr>
          <w:rFonts w:ascii="Times New Roman" w:hAnsi="Times New Roman" w:cs="Times New Roman"/>
        </w:rPr>
        <w:t>The workflow uses relative data paths, document-ID alignment, matrix indexes, fixed seeds, and export reload checks. Sentiment and classification configurations record settings, versions, and file hashes. Clustering exports retain comparisons, assignments, terms, representatives, and centroids. For release, retain the annotated CSV, protect it from routine review-cell writes, capture the clustering configuration, and run the notebooks in order from fresh kernels. [1–3]</w:t>
      </w:r>
    </w:p>
    <w:p w14:paraId="4AE82561" w14:textId="0725139B" w:rsidR="00717023" w:rsidRPr="00717023" w:rsidRDefault="00717023">
      <w:pPr>
        <w:spacing w:after="60" w:line="240" w:lineRule="auto"/>
        <w:rPr>
          <w:rFonts w:ascii="Times New Roman" w:eastAsia="宋体" w:hAnsi="Times New Roman" w:cs="Times New Roman"/>
          <w:b/>
          <w:bCs/>
          <w:sz w:val="24"/>
          <w:szCs w:val="24"/>
          <w:lang w:eastAsia="zh-CN"/>
        </w:rPr>
      </w:pPr>
      <w:r w:rsidRPr="00717023">
        <w:rPr>
          <w:rFonts w:ascii="Times New Roman" w:eastAsia="宋体" w:hAnsi="Times New Roman" w:cs="Times New Roman"/>
          <w:b/>
          <w:bCs/>
          <w:sz w:val="24"/>
          <w:szCs w:val="24"/>
          <w:lang w:eastAsia="zh-CN"/>
        </w:rPr>
        <w:t>Sources and methods</w:t>
      </w:r>
    </w:p>
    <w:p w14:paraId="001AADB5" w14:textId="16836C8D" w:rsidR="001846F6" w:rsidRPr="0072247D" w:rsidRDefault="00000000">
      <w:pPr>
        <w:spacing w:after="60" w:line="240" w:lineRule="auto"/>
        <w:rPr>
          <w:rFonts w:ascii="Times New Roman" w:hAnsi="Times New Roman" w:cs="Times New Roman"/>
        </w:rPr>
      </w:pPr>
      <w:r w:rsidRPr="0072247D">
        <w:rPr>
          <w:rFonts w:ascii="Times New Roman" w:hAnsi="Times New Roman" w:cs="Times New Roman"/>
          <w:sz w:val="18"/>
        </w:rPr>
        <w:t>[1] Zhang, Y. Week 5 NLP pipeline. W05_NLP_Pipeline(3).ipynb. Corpus, preprocessing, TF-IDF, and LDA outputs.</w:t>
      </w:r>
    </w:p>
    <w:p w14:paraId="1A86B898" w14:textId="77777777" w:rsidR="001846F6" w:rsidRPr="0072247D" w:rsidRDefault="00000000">
      <w:pPr>
        <w:spacing w:after="60" w:line="240" w:lineRule="auto"/>
        <w:rPr>
          <w:rFonts w:ascii="Times New Roman" w:hAnsi="Times New Roman" w:cs="Times New Roman"/>
        </w:rPr>
      </w:pPr>
      <w:r w:rsidRPr="0072247D">
        <w:rPr>
          <w:rFonts w:ascii="Times New Roman" w:hAnsi="Times New Roman" w:cs="Times New Roman"/>
          <w:sz w:val="18"/>
        </w:rPr>
        <w:t>[2] Zhang, Y. Week 6 sentiment and classification. W06_Sentiment_Classification(1).ipynb. Scores, annotations, audit, and model outputs.</w:t>
      </w:r>
    </w:p>
    <w:p w14:paraId="3D646FC5" w14:textId="77777777" w:rsidR="001846F6" w:rsidRPr="0072247D" w:rsidRDefault="00000000">
      <w:pPr>
        <w:spacing w:after="60" w:line="240" w:lineRule="auto"/>
        <w:rPr>
          <w:rFonts w:ascii="Times New Roman" w:hAnsi="Times New Roman" w:cs="Times New Roman"/>
        </w:rPr>
      </w:pPr>
      <w:r w:rsidRPr="0072247D">
        <w:rPr>
          <w:rFonts w:ascii="Times New Roman" w:hAnsi="Times New Roman" w:cs="Times New Roman"/>
          <w:sz w:val="18"/>
        </w:rPr>
        <w:t>[3] Zhang, Y. Week 6 clustering. W06_Clustering_Analysis.ipynb.ipynb. K comparison, profiles, representatives, and metadata comparisons.</w:t>
      </w:r>
    </w:p>
    <w:p w14:paraId="5120A486" w14:textId="77777777" w:rsidR="001846F6" w:rsidRPr="0072247D" w:rsidRDefault="00000000">
      <w:pPr>
        <w:spacing w:after="60" w:line="240" w:lineRule="auto"/>
        <w:rPr>
          <w:rFonts w:ascii="Times New Roman" w:hAnsi="Times New Roman" w:cs="Times New Roman"/>
        </w:rPr>
      </w:pPr>
      <w:r w:rsidRPr="0072247D">
        <w:rPr>
          <w:rFonts w:ascii="Times New Roman" w:hAnsi="Times New Roman" w:cs="Times New Roman"/>
          <w:sz w:val="18"/>
        </w:rPr>
        <w:t>[4] NLTK. VADER implementation; cites Hutto and Gilbert (2014), VADER: A Parsimonious Rule-based Model for Sentiment Analysis of Social Media Text.</w:t>
      </w:r>
      <w:r w:rsidRPr="0072247D">
        <w:rPr>
          <w:rFonts w:ascii="Times New Roman" w:hAnsi="Times New Roman" w:cs="Times New Roman"/>
        </w:rPr>
        <w:t xml:space="preserve"> </w:t>
      </w:r>
      <w:hyperlink r:id="rId9">
        <w:r w:rsidRPr="0072247D">
          <w:rPr>
            <w:rFonts w:ascii="Times New Roman" w:hAnsi="Times New Roman" w:cs="Times New Roman"/>
            <w:color w:val="285A80"/>
            <w:sz w:val="18"/>
          </w:rPr>
          <w:t>NLTK source</w:t>
        </w:r>
      </w:hyperlink>
    </w:p>
    <w:p w14:paraId="6C54916D" w14:textId="77777777" w:rsidR="001846F6" w:rsidRPr="0072247D" w:rsidRDefault="00000000">
      <w:pPr>
        <w:spacing w:after="60" w:line="240" w:lineRule="auto"/>
        <w:rPr>
          <w:rFonts w:ascii="Times New Roman" w:hAnsi="Times New Roman" w:cs="Times New Roman"/>
        </w:rPr>
      </w:pPr>
      <w:r w:rsidRPr="0072247D">
        <w:rPr>
          <w:rFonts w:ascii="Times New Roman" w:hAnsi="Times New Roman" w:cs="Times New Roman"/>
          <w:sz w:val="18"/>
        </w:rPr>
        <w:t>[5] scikit-learn. Common pitfalls and recommended practices. Train-only fitting and pipeline guidance.</w:t>
      </w:r>
      <w:r w:rsidRPr="0072247D">
        <w:rPr>
          <w:rFonts w:ascii="Times New Roman" w:hAnsi="Times New Roman" w:cs="Times New Roman"/>
        </w:rPr>
        <w:t xml:space="preserve"> </w:t>
      </w:r>
      <w:hyperlink r:id="rId10">
        <w:r w:rsidRPr="0072247D">
          <w:rPr>
            <w:rFonts w:ascii="Times New Roman" w:hAnsi="Times New Roman" w:cs="Times New Roman"/>
            <w:color w:val="285A80"/>
            <w:sz w:val="18"/>
          </w:rPr>
          <w:t>Documentation</w:t>
        </w:r>
      </w:hyperlink>
    </w:p>
    <w:p w14:paraId="035C0042" w14:textId="77777777" w:rsidR="001846F6" w:rsidRPr="0072247D" w:rsidRDefault="00000000">
      <w:pPr>
        <w:spacing w:after="60" w:line="240" w:lineRule="auto"/>
        <w:rPr>
          <w:rFonts w:ascii="Times New Roman" w:hAnsi="Times New Roman" w:cs="Times New Roman"/>
        </w:rPr>
      </w:pPr>
      <w:r w:rsidRPr="0072247D">
        <w:rPr>
          <w:rFonts w:ascii="Times New Roman" w:hAnsi="Times New Roman" w:cs="Times New Roman"/>
          <w:sz w:val="18"/>
        </w:rPr>
        <w:t>[6] scikit-learn. silhouette_score. Definition and interpretation of cluster separation.</w:t>
      </w:r>
      <w:r w:rsidRPr="0072247D">
        <w:rPr>
          <w:rFonts w:ascii="Times New Roman" w:hAnsi="Times New Roman" w:cs="Times New Roman"/>
        </w:rPr>
        <w:t xml:space="preserve"> </w:t>
      </w:r>
      <w:hyperlink r:id="rId11">
        <w:r w:rsidRPr="0072247D">
          <w:rPr>
            <w:rFonts w:ascii="Times New Roman" w:hAnsi="Times New Roman" w:cs="Times New Roman"/>
            <w:color w:val="285A80"/>
            <w:sz w:val="18"/>
          </w:rPr>
          <w:t>Documentation</w:t>
        </w:r>
      </w:hyperlink>
    </w:p>
    <w:sectPr w:rsidR="001846F6" w:rsidRPr="0072247D" w:rsidSect="00034616">
      <w:headerReference w:type="even" r:id="rId12"/>
      <w:headerReference w:type="default" r:id="rId13"/>
      <w:footerReference w:type="even" r:id="rId14"/>
      <w:footerReference w:type="default" r:id="rId15"/>
      <w:headerReference w:type="first" r:id="rId16"/>
      <w:footerReference w:type="first" r:id="rId17"/>
      <w:pgSz w:w="12240" w:h="15840"/>
      <w:pgMar w:top="936" w:right="1037" w:bottom="936" w:left="1037" w:header="72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62932" w14:textId="77777777" w:rsidR="002400D4" w:rsidRDefault="002400D4">
      <w:pPr>
        <w:spacing w:after="0" w:line="240" w:lineRule="auto"/>
      </w:pPr>
      <w:r>
        <w:separator/>
      </w:r>
    </w:p>
  </w:endnote>
  <w:endnote w:type="continuationSeparator" w:id="0">
    <w:p w14:paraId="1E4DACE1" w14:textId="77777777" w:rsidR="002400D4" w:rsidRDefault="00240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9C49" w14:textId="77777777" w:rsidR="0072247D" w:rsidRDefault="0072247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B9B5" w14:textId="4D3485A2" w:rsidR="001846F6" w:rsidRDefault="001846F6">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C3AC" w14:textId="77777777" w:rsidR="0072247D" w:rsidRDefault="0072247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9D2D0" w14:textId="77777777" w:rsidR="002400D4" w:rsidRDefault="002400D4">
      <w:pPr>
        <w:spacing w:after="0" w:line="240" w:lineRule="auto"/>
      </w:pPr>
      <w:r>
        <w:separator/>
      </w:r>
    </w:p>
  </w:footnote>
  <w:footnote w:type="continuationSeparator" w:id="0">
    <w:p w14:paraId="724B6823" w14:textId="77777777" w:rsidR="002400D4" w:rsidRDefault="00240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84B0" w14:textId="77777777" w:rsidR="0072247D" w:rsidRDefault="0072247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33E" w14:textId="77777777" w:rsidR="0072247D" w:rsidRDefault="0072247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283A" w14:textId="77777777" w:rsidR="0072247D" w:rsidRDefault="0072247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2563C5"/>
    <w:multiLevelType w:val="hybridMultilevel"/>
    <w:tmpl w:val="82404CA0"/>
    <w:lvl w:ilvl="0" w:tplc="45E245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C551AF"/>
    <w:multiLevelType w:val="hybridMultilevel"/>
    <w:tmpl w:val="F140E8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1D00FED"/>
    <w:multiLevelType w:val="hybridMultilevel"/>
    <w:tmpl w:val="771284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67818416">
    <w:abstractNumId w:val="8"/>
  </w:num>
  <w:num w:numId="2" w16cid:durableId="1614752444">
    <w:abstractNumId w:val="6"/>
  </w:num>
  <w:num w:numId="3" w16cid:durableId="1439988830">
    <w:abstractNumId w:val="5"/>
  </w:num>
  <w:num w:numId="4" w16cid:durableId="283393548">
    <w:abstractNumId w:val="4"/>
  </w:num>
  <w:num w:numId="5" w16cid:durableId="113867637">
    <w:abstractNumId w:val="7"/>
  </w:num>
  <w:num w:numId="6" w16cid:durableId="1606037706">
    <w:abstractNumId w:val="3"/>
  </w:num>
  <w:num w:numId="7" w16cid:durableId="635067520">
    <w:abstractNumId w:val="2"/>
  </w:num>
  <w:num w:numId="8" w16cid:durableId="1363287671">
    <w:abstractNumId w:val="1"/>
  </w:num>
  <w:num w:numId="9" w16cid:durableId="184290873">
    <w:abstractNumId w:val="0"/>
  </w:num>
  <w:num w:numId="10" w16cid:durableId="171334222">
    <w:abstractNumId w:val="10"/>
  </w:num>
  <w:num w:numId="11" w16cid:durableId="1893424427">
    <w:abstractNumId w:val="11"/>
  </w:num>
  <w:num w:numId="12" w16cid:durableId="270750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6F6"/>
    <w:rsid w:val="002400D4"/>
    <w:rsid w:val="0029639D"/>
    <w:rsid w:val="00326F90"/>
    <w:rsid w:val="00690A53"/>
    <w:rsid w:val="00717023"/>
    <w:rsid w:val="0072247D"/>
    <w:rsid w:val="009667E6"/>
    <w:rsid w:val="00981A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5BF730"/>
  <w14:defaultImageDpi w14:val="300"/>
  <w15:docId w15:val="{CA7B1B9A-2701-45E8-A262-EA7BB09D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0" w:lineRule="auto"/>
    </w:pPr>
    <w:rPr>
      <w:rFonts w:ascii="Calibri" w:eastAsia="Calibri" w:hAnsi="Calibri"/>
      <w:color w:val="000000"/>
    </w:rPr>
  </w:style>
  <w:style w:type="paragraph" w:styleId="1">
    <w:name w:val="heading 1"/>
    <w:basedOn w:val="a1"/>
    <w:next w:val="a1"/>
    <w:link w:val="10"/>
    <w:uiPriority w:val="9"/>
    <w:qFormat/>
    <w:rsid w:val="00FC693F"/>
    <w:pPr>
      <w:keepNext/>
      <w:keepLines/>
      <w:spacing w:before="180" w:after="80"/>
      <w:outlineLvl w:val="0"/>
    </w:pPr>
    <w:rPr>
      <w:rFonts w:asciiTheme="majorHAnsi" w:eastAsiaTheme="majorEastAsia" w:hAnsiTheme="majorHAnsi" w:cstheme="majorBidi"/>
      <w:b/>
      <w:bCs/>
      <w:sz w:val="24"/>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contextualSpacing/>
    </w:pPr>
    <w:rPr>
      <w:rFonts w:asciiTheme="majorHAnsi" w:eastAsiaTheme="majorEastAsia" w:hAnsiTheme="majorHAnsi" w:cstheme="majorBidi"/>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40"/>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generated/sklearn.metrics.silhouette_score.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scikit-learn.org/stable/common_pitfall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ltk.org/_modules/nltk/sentiment/vader.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1770</Words>
  <Characters>10715</Characters>
  <Application>Microsoft Office Word</Application>
  <DocSecurity>0</DocSecurity>
  <Lines>232</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Analysis of Eldercare Companion Robots</dc:title>
  <dc:subject>Week 6 NLP Technical Report</dc:subject>
  <dc:creator>Yincheng Zhang</dc:creator>
  <cp:keywords>Fari, eldercare, NLP, TF-IDF, LDA, VADER, Decision Tree, K-Means</cp:keywords>
  <dc:description>generated by python-docx</dc:description>
  <cp:lastModifiedBy>胤诚 张</cp:lastModifiedBy>
  <cp:revision>4</cp:revision>
  <dcterms:created xsi:type="dcterms:W3CDTF">2013-12-23T23:15:00Z</dcterms:created>
  <dcterms:modified xsi:type="dcterms:W3CDTF">2026-10-19T14:17:00Z</dcterms:modified>
  <cp:category/>
</cp:coreProperties>
</file>