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2F5A" w14:textId="77777777" w:rsidR="00154B7D" w:rsidRPr="00154B7D" w:rsidRDefault="00154B7D" w:rsidP="00154B7D">
      <w:pPr>
        <w:jc w:val="center"/>
        <w:rPr>
          <w:rFonts w:ascii="Times New Roman" w:hAnsi="Times New Roman" w:cs="Times New Roman"/>
          <w:b/>
          <w:bCs/>
          <w:sz w:val="24"/>
          <w:szCs w:val="24"/>
        </w:rPr>
      </w:pPr>
      <w:r w:rsidRPr="00154B7D">
        <w:rPr>
          <w:rFonts w:ascii="Times New Roman" w:hAnsi="Times New Roman" w:cs="Times New Roman"/>
          <w:b/>
          <w:bCs/>
          <w:sz w:val="24"/>
          <w:szCs w:val="24"/>
        </w:rPr>
        <w:t>Mid-Point Evaluation Rubric</w:t>
      </w:r>
    </w:p>
    <w:p w14:paraId="33647779" w14:textId="77777777" w:rsidR="00154B7D" w:rsidRPr="00154B7D" w:rsidRDefault="00154B7D" w:rsidP="00154B7D">
      <w:pPr>
        <w:rPr>
          <w:rFonts w:ascii="Times New Roman" w:hAnsi="Times New Roman" w:cs="Times New Roman"/>
          <w:sz w:val="22"/>
        </w:rPr>
      </w:pPr>
      <w:r w:rsidRPr="00154B7D">
        <w:rPr>
          <w:rFonts w:ascii="Times New Roman" w:hAnsi="Times New Roman" w:cs="Times New Roman"/>
          <w:b/>
          <w:bCs/>
          <w:sz w:val="22"/>
        </w:rPr>
        <w:t>Intern:</w:t>
      </w:r>
      <w:r w:rsidRPr="00154B7D">
        <w:rPr>
          <w:rFonts w:ascii="Times New Roman" w:hAnsi="Times New Roman" w:cs="Times New Roman"/>
          <w:sz w:val="22"/>
        </w:rPr>
        <w:t xml:space="preserve"> Yincheng Zhang</w:t>
      </w:r>
    </w:p>
    <w:p w14:paraId="30482663" w14:textId="77777777" w:rsidR="00154B7D" w:rsidRPr="00154B7D" w:rsidRDefault="00154B7D" w:rsidP="00154B7D">
      <w:pPr>
        <w:rPr>
          <w:rFonts w:ascii="Times New Roman" w:hAnsi="Times New Roman" w:cs="Times New Roman"/>
          <w:sz w:val="22"/>
        </w:rPr>
      </w:pPr>
      <w:r w:rsidRPr="00154B7D">
        <w:rPr>
          <w:rFonts w:ascii="Times New Roman" w:hAnsi="Times New Roman" w:cs="Times New Roman"/>
          <w:b/>
          <w:bCs/>
          <w:sz w:val="22"/>
        </w:rPr>
        <w:t>Position:</w:t>
      </w:r>
      <w:r w:rsidRPr="00154B7D">
        <w:rPr>
          <w:rFonts w:ascii="Times New Roman" w:hAnsi="Times New Roman" w:cs="Times New Roman"/>
          <w:sz w:val="22"/>
        </w:rPr>
        <w:t xml:space="preserve"> Data Analyst Intern — Physical AI Analytics &amp; NLP Track</w:t>
      </w:r>
    </w:p>
    <w:p w14:paraId="5AF57E1A" w14:textId="77777777" w:rsidR="00154B7D" w:rsidRPr="00154B7D" w:rsidRDefault="00154B7D" w:rsidP="00154B7D">
      <w:pPr>
        <w:rPr>
          <w:rFonts w:ascii="Times New Roman" w:hAnsi="Times New Roman" w:cs="Times New Roman"/>
          <w:sz w:val="22"/>
        </w:rPr>
      </w:pPr>
      <w:r w:rsidRPr="00154B7D">
        <w:rPr>
          <w:rFonts w:ascii="Times New Roman" w:hAnsi="Times New Roman" w:cs="Times New Roman"/>
          <w:b/>
          <w:bCs/>
          <w:sz w:val="22"/>
        </w:rPr>
        <w:t>Company:</w:t>
      </w:r>
      <w:r w:rsidRPr="00154B7D">
        <w:rPr>
          <w:rFonts w:ascii="Times New Roman" w:hAnsi="Times New Roman" w:cs="Times New Roman"/>
          <w:sz w:val="22"/>
        </w:rPr>
        <w:t xml:space="preserve"> InGen Dynamics Inc.</w:t>
      </w:r>
    </w:p>
    <w:p w14:paraId="16F398FE" w14:textId="77777777" w:rsidR="00154B7D" w:rsidRPr="00154B7D" w:rsidRDefault="00154B7D" w:rsidP="00154B7D">
      <w:pPr>
        <w:rPr>
          <w:rFonts w:ascii="Times New Roman" w:hAnsi="Times New Roman" w:cs="Times New Roman"/>
          <w:sz w:val="22"/>
        </w:rPr>
      </w:pPr>
      <w:r w:rsidRPr="00154B7D">
        <w:rPr>
          <w:rFonts w:ascii="Times New Roman" w:hAnsi="Times New Roman" w:cs="Times New Roman"/>
          <w:b/>
          <w:bCs/>
          <w:sz w:val="22"/>
        </w:rPr>
        <w:t>Evaluation Period:</w:t>
      </w:r>
      <w:r w:rsidRPr="00154B7D">
        <w:rPr>
          <w:rFonts w:ascii="Times New Roman" w:hAnsi="Times New Roman" w:cs="Times New Roman"/>
          <w:sz w:val="22"/>
        </w:rPr>
        <w:t xml:space="preserve"> Weeks 1–4, September 7–October 3, 2026</w:t>
      </w:r>
    </w:p>
    <w:p w14:paraId="1A41112E" w14:textId="77777777" w:rsidR="00154B7D" w:rsidRPr="00154B7D" w:rsidRDefault="00154B7D" w:rsidP="00154B7D">
      <w:pPr>
        <w:rPr>
          <w:rFonts w:ascii="Times New Roman" w:hAnsi="Times New Roman" w:cs="Times New Roman"/>
          <w:sz w:val="22"/>
        </w:rPr>
      </w:pPr>
      <w:r w:rsidRPr="00154B7D">
        <w:rPr>
          <w:rFonts w:ascii="Times New Roman" w:hAnsi="Times New Roman" w:cs="Times New Roman"/>
          <w:b/>
          <w:bCs/>
          <w:sz w:val="22"/>
        </w:rPr>
        <w:t>Prepared:</w:t>
      </w:r>
      <w:r w:rsidRPr="00154B7D">
        <w:rPr>
          <w:rFonts w:ascii="Times New Roman" w:hAnsi="Times New Roman" w:cs="Times New Roman"/>
          <w:sz w:val="22"/>
        </w:rPr>
        <w:t xml:space="preserve"> October 7, 2026</w:t>
      </w:r>
    </w:p>
    <w:p w14:paraId="4D3CE16F" w14:textId="77777777" w:rsidR="00154B7D" w:rsidRPr="00154B7D" w:rsidRDefault="00154B7D" w:rsidP="00154B7D">
      <w:pPr>
        <w:rPr>
          <w:rFonts w:ascii="Times New Roman" w:hAnsi="Times New Roman" w:cs="Times New Roman"/>
          <w:sz w:val="22"/>
        </w:rPr>
      </w:pPr>
      <w:r w:rsidRPr="00154B7D">
        <w:rPr>
          <w:rFonts w:ascii="Times New Roman" w:hAnsi="Times New Roman" w:cs="Times New Roman"/>
          <w:b/>
          <w:bCs/>
          <w:sz w:val="22"/>
        </w:rPr>
        <w:t>Supervisor:</w:t>
      </w:r>
      <w:r w:rsidRPr="00154B7D">
        <w:rPr>
          <w:rFonts w:ascii="Times New Roman" w:hAnsi="Times New Roman" w:cs="Times New Roman"/>
          <w:sz w:val="22"/>
        </w:rPr>
        <w:t xml:space="preserve"> Iqbal Patel</w:t>
      </w:r>
    </w:p>
    <w:p w14:paraId="33A1435B" w14:textId="77777777" w:rsidR="00154B7D" w:rsidRDefault="00154B7D" w:rsidP="00154B7D">
      <w:pPr>
        <w:rPr>
          <w:rFonts w:ascii="Times New Roman" w:hAnsi="Times New Roman" w:cs="Times New Roman"/>
          <w:sz w:val="22"/>
        </w:rPr>
      </w:pPr>
      <w:r w:rsidRPr="00154B7D">
        <w:rPr>
          <w:rFonts w:ascii="Times New Roman" w:hAnsi="Times New Roman" w:cs="Times New Roman"/>
          <w:b/>
          <w:bCs/>
          <w:sz w:val="22"/>
        </w:rPr>
        <w:t>Evaluation Type:</w:t>
      </w:r>
      <w:r w:rsidRPr="00154B7D">
        <w:rPr>
          <w:rFonts w:ascii="Times New Roman" w:hAnsi="Times New Roman" w:cs="Times New Roman"/>
          <w:sz w:val="22"/>
        </w:rPr>
        <w:t xml:space="preserve"> Intern self-assessment for supervisor review</w:t>
      </w:r>
    </w:p>
    <w:p w14:paraId="2A5CC792" w14:textId="77777777" w:rsidR="00154B7D" w:rsidRPr="00154B7D" w:rsidRDefault="00154B7D" w:rsidP="00154B7D">
      <w:pPr>
        <w:rPr>
          <w:rFonts w:ascii="Times New Roman" w:hAnsi="Times New Roman" w:cs="Times New Roman"/>
          <w:sz w:val="22"/>
        </w:rPr>
      </w:pPr>
    </w:p>
    <w:p w14:paraId="4CA1C057" w14:textId="77777777" w:rsidR="00154B7D" w:rsidRPr="00154B7D" w:rsidRDefault="00154B7D" w:rsidP="00154B7D">
      <w:pPr>
        <w:rPr>
          <w:rFonts w:ascii="Times New Roman" w:hAnsi="Times New Roman" w:cs="Times New Roman"/>
          <w:b/>
          <w:bCs/>
          <w:sz w:val="22"/>
        </w:rPr>
      </w:pPr>
      <w:r w:rsidRPr="00154B7D">
        <w:rPr>
          <w:rFonts w:ascii="Times New Roman" w:hAnsi="Times New Roman" w:cs="Times New Roman"/>
          <w:b/>
          <w:bCs/>
          <w:sz w:val="22"/>
        </w:rPr>
        <w:t>Overall Progress</w:t>
      </w:r>
    </w:p>
    <w:p w14:paraId="745CB1FA" w14:textId="77777777" w:rsidR="00154B7D" w:rsidRDefault="00154B7D" w:rsidP="00154B7D">
      <w:pPr>
        <w:rPr>
          <w:rFonts w:ascii="Times New Roman" w:hAnsi="Times New Roman" w:cs="Times New Roman"/>
          <w:sz w:val="22"/>
        </w:rPr>
      </w:pPr>
      <w:r w:rsidRPr="00154B7D">
        <w:rPr>
          <w:rFonts w:ascii="Times New Roman" w:hAnsi="Times New Roman" w:cs="Times New Roman"/>
          <w:sz w:val="22"/>
        </w:rPr>
        <w:t>During the first four weeks, I developed an analytical workflow connecting InGen’s platform-level business questions with public market evidence, measurable KPI definitions, synthetic operational data, and dashboard reporting. I completed the data ecosystem audit, analytical framework, competitive market intelligence report, Knightscope financial analysis, KPI framework, Python data pipeline, exploratory analysis, and Tableau dashboard.</w:t>
      </w:r>
    </w:p>
    <w:p w14:paraId="57F4E860" w14:textId="77777777" w:rsidR="00154B7D" w:rsidRPr="00154B7D" w:rsidRDefault="00154B7D" w:rsidP="00154B7D">
      <w:pPr>
        <w:rPr>
          <w:rFonts w:ascii="Times New Roman" w:hAnsi="Times New Roman" w:cs="Times New Roman"/>
          <w:sz w:val="22"/>
        </w:rPr>
      </w:pPr>
    </w:p>
    <w:p w14:paraId="548E7DF2" w14:textId="2324C500" w:rsidR="00903C2A" w:rsidRDefault="00154B7D" w:rsidP="00154B7D">
      <w:pPr>
        <w:rPr>
          <w:rFonts w:ascii="Times New Roman" w:hAnsi="Times New Roman" w:cs="Times New Roman"/>
          <w:sz w:val="22"/>
        </w:rPr>
      </w:pPr>
      <w:r w:rsidRPr="00154B7D">
        <w:rPr>
          <w:rFonts w:ascii="Times New Roman" w:hAnsi="Times New Roman" w:cs="Times New Roman"/>
          <w:sz w:val="22"/>
        </w:rPr>
        <w:t>The principal constraint throughout this work was the absence of internal InGen operational data. I addressed this by distinguishing public disclosures, comparable-product benchmarks, engineering targets, and synthetic observations. The resulting operational analysis demonstrates how an analytics system could work; it does not establish actual InGen product performance.</w:t>
      </w:r>
    </w:p>
    <w:p w14:paraId="78EB4B18" w14:textId="77777777" w:rsidR="00154B7D" w:rsidRDefault="00154B7D" w:rsidP="00154B7D">
      <w:pPr>
        <w:rPr>
          <w:rFonts w:ascii="Times New Roman" w:hAnsi="Times New Roman" w:cs="Times New Roman"/>
          <w:sz w:val="22"/>
        </w:rPr>
      </w:pPr>
    </w:p>
    <w:tbl>
      <w:tblPr>
        <w:tblStyle w:val="af2"/>
        <w:tblW w:w="0" w:type="auto"/>
        <w:tblLook w:val="04A0" w:firstRow="1" w:lastRow="0" w:firstColumn="1" w:lastColumn="0" w:noHBand="0" w:noVBand="1"/>
      </w:tblPr>
      <w:tblGrid>
        <w:gridCol w:w="2842"/>
        <w:gridCol w:w="2843"/>
        <w:gridCol w:w="2843"/>
      </w:tblGrid>
      <w:tr w:rsidR="00154B7D" w14:paraId="0835CCFE" w14:textId="77777777" w:rsidTr="00154B7D">
        <w:tc>
          <w:tcPr>
            <w:tcW w:w="2842" w:type="dxa"/>
          </w:tcPr>
          <w:p w14:paraId="66324F16" w14:textId="70DF384E" w:rsidR="00154B7D" w:rsidRPr="00154B7D" w:rsidRDefault="00154B7D" w:rsidP="00154B7D">
            <w:pPr>
              <w:widowControl/>
              <w:jc w:val="center"/>
              <w:rPr>
                <w:rFonts w:ascii="Times New Roman" w:hAnsi="Times New Roman" w:cs="Times New Roman"/>
                <w:b/>
                <w:bCs/>
                <w:sz w:val="22"/>
              </w:rPr>
            </w:pPr>
            <w:r w:rsidRPr="00154B7D">
              <w:rPr>
                <w:rFonts w:ascii="Times New Roman" w:hAnsi="Times New Roman" w:cs="Times New Roman"/>
                <w:b/>
                <w:bCs/>
                <w:sz w:val="22"/>
              </w:rPr>
              <w:t>Evaluation Dimension</w:t>
            </w:r>
          </w:p>
        </w:tc>
        <w:tc>
          <w:tcPr>
            <w:tcW w:w="2843" w:type="dxa"/>
          </w:tcPr>
          <w:p w14:paraId="3310FDEC" w14:textId="110A9277" w:rsidR="00154B7D" w:rsidRPr="00154B7D" w:rsidRDefault="00154B7D" w:rsidP="00154B7D">
            <w:pPr>
              <w:jc w:val="center"/>
              <w:rPr>
                <w:rFonts w:ascii="Times New Roman" w:hAnsi="Times New Roman" w:cs="Times New Roman"/>
                <w:b/>
                <w:bCs/>
                <w:sz w:val="22"/>
              </w:rPr>
            </w:pPr>
            <w:r w:rsidRPr="00154B7D">
              <w:rPr>
                <w:rFonts w:ascii="Times New Roman" w:hAnsi="Times New Roman" w:cs="Times New Roman"/>
                <w:b/>
                <w:bCs/>
                <w:sz w:val="22"/>
              </w:rPr>
              <w:t>Mid-Point Status</w:t>
            </w:r>
          </w:p>
        </w:tc>
        <w:tc>
          <w:tcPr>
            <w:tcW w:w="2843" w:type="dxa"/>
          </w:tcPr>
          <w:p w14:paraId="2DEA1509" w14:textId="235112CF" w:rsidR="00154B7D" w:rsidRPr="00154B7D" w:rsidRDefault="00154B7D" w:rsidP="00154B7D">
            <w:pPr>
              <w:jc w:val="center"/>
              <w:rPr>
                <w:rFonts w:ascii="Times New Roman" w:hAnsi="Times New Roman" w:cs="Times New Roman"/>
                <w:b/>
                <w:bCs/>
                <w:sz w:val="22"/>
              </w:rPr>
            </w:pPr>
            <w:r w:rsidRPr="00154B7D">
              <w:rPr>
                <w:rFonts w:ascii="Times New Roman" w:hAnsi="Times New Roman" w:cs="Times New Roman"/>
                <w:b/>
                <w:bCs/>
                <w:sz w:val="22"/>
              </w:rPr>
              <w:t>Mid-Point Status</w:t>
            </w:r>
          </w:p>
        </w:tc>
      </w:tr>
      <w:tr w:rsidR="00154B7D" w14:paraId="386DD181" w14:textId="77777777" w:rsidTr="00154B7D">
        <w:tc>
          <w:tcPr>
            <w:tcW w:w="2842" w:type="dxa"/>
          </w:tcPr>
          <w:p w14:paraId="1305F422" w14:textId="2CDF2DEB" w:rsidR="00154B7D" w:rsidRPr="00154B7D" w:rsidRDefault="00154B7D" w:rsidP="00154B7D">
            <w:pPr>
              <w:tabs>
                <w:tab w:val="left" w:pos="645"/>
              </w:tabs>
              <w:jc w:val="left"/>
              <w:rPr>
                <w:rFonts w:ascii="Times New Roman" w:hAnsi="Times New Roman" w:cs="Times New Roman"/>
                <w:sz w:val="22"/>
              </w:rPr>
            </w:pPr>
            <w:r w:rsidRPr="00154B7D">
              <w:rPr>
                <w:rFonts w:ascii="Times New Roman" w:hAnsi="Times New Roman" w:cs="Times New Roman"/>
                <w:sz w:val="22"/>
              </w:rPr>
              <w:t>Analytical Rigor &amp; Data Methodology</w:t>
            </w:r>
          </w:p>
        </w:tc>
        <w:tc>
          <w:tcPr>
            <w:tcW w:w="2843" w:type="dxa"/>
          </w:tcPr>
          <w:p w14:paraId="6673773E" w14:textId="124CB65E"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Demonstrated through Weeks 1–4</w:t>
            </w:r>
          </w:p>
        </w:tc>
        <w:tc>
          <w:tcPr>
            <w:tcW w:w="2843" w:type="dxa"/>
          </w:tcPr>
          <w:p w14:paraId="76B27CE2" w14:textId="1475644A"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___ / 5</w:t>
            </w:r>
          </w:p>
        </w:tc>
      </w:tr>
      <w:tr w:rsidR="00154B7D" w14:paraId="1A1F833E" w14:textId="77777777" w:rsidTr="00154B7D">
        <w:tc>
          <w:tcPr>
            <w:tcW w:w="2842" w:type="dxa"/>
          </w:tcPr>
          <w:p w14:paraId="680B0ED0" w14:textId="1BDCA349"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Python Code Quality &amp; Automation Discipline</w:t>
            </w:r>
          </w:p>
        </w:tc>
        <w:tc>
          <w:tcPr>
            <w:tcW w:w="2843" w:type="dxa"/>
          </w:tcPr>
          <w:p w14:paraId="0B44304F" w14:textId="1549665A"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Demonstrated; environment documentation can be strengthened</w:t>
            </w:r>
          </w:p>
        </w:tc>
        <w:tc>
          <w:tcPr>
            <w:tcW w:w="2843" w:type="dxa"/>
          </w:tcPr>
          <w:p w14:paraId="51FE0C02" w14:textId="120EF782"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___ / 5</w:t>
            </w:r>
          </w:p>
        </w:tc>
      </w:tr>
      <w:tr w:rsidR="00154B7D" w14:paraId="0FDDD067" w14:textId="77777777" w:rsidTr="00154B7D">
        <w:tc>
          <w:tcPr>
            <w:tcW w:w="2842" w:type="dxa"/>
          </w:tcPr>
          <w:p w14:paraId="45FAA52F" w14:textId="7742429C"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NLP &amp; Text Analytics Execution</w:t>
            </w:r>
          </w:p>
        </w:tc>
        <w:tc>
          <w:tcPr>
            <w:tcW w:w="2843" w:type="dxa"/>
          </w:tcPr>
          <w:p w14:paraId="3B9FD6BD" w14:textId="3F704A9A" w:rsidR="00154B7D" w:rsidRPr="00154B7D" w:rsidRDefault="00154B7D" w:rsidP="00154B7D">
            <w:pPr>
              <w:ind w:firstLineChars="200" w:firstLine="440"/>
              <w:jc w:val="left"/>
              <w:rPr>
                <w:rFonts w:ascii="Times New Roman" w:hAnsi="Times New Roman" w:cs="Times New Roman"/>
                <w:sz w:val="22"/>
              </w:rPr>
            </w:pPr>
            <w:r w:rsidRPr="00154B7D">
              <w:rPr>
                <w:rFonts w:ascii="Times New Roman" w:hAnsi="Times New Roman" w:cs="Times New Roman"/>
                <w:sz w:val="22"/>
              </w:rPr>
              <w:t>Scheduled for Weeks 5–6; proposed deferral at this checkpoint</w:t>
            </w:r>
          </w:p>
        </w:tc>
        <w:tc>
          <w:tcPr>
            <w:tcW w:w="2843" w:type="dxa"/>
          </w:tcPr>
          <w:p w14:paraId="7DFDE241" w14:textId="7BFB38D8"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___ / 5</w:t>
            </w:r>
          </w:p>
        </w:tc>
      </w:tr>
      <w:tr w:rsidR="00154B7D" w14:paraId="40B34DCC" w14:textId="77777777" w:rsidTr="00154B7D">
        <w:tc>
          <w:tcPr>
            <w:tcW w:w="2842" w:type="dxa"/>
          </w:tcPr>
          <w:p w14:paraId="4B90AB67" w14:textId="59FA4855"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Data Visualization &amp; Dashboard Quality</w:t>
            </w:r>
          </w:p>
        </w:tc>
        <w:tc>
          <w:tcPr>
            <w:tcW w:w="2843" w:type="dxa"/>
          </w:tcPr>
          <w:p w14:paraId="080C59CD" w14:textId="3416143D"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Core components delivered; remaining filter and usability checks</w:t>
            </w:r>
          </w:p>
        </w:tc>
        <w:tc>
          <w:tcPr>
            <w:tcW w:w="2843" w:type="dxa"/>
          </w:tcPr>
          <w:p w14:paraId="5CDDB69B" w14:textId="04254CE8"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___ / 5</w:t>
            </w:r>
          </w:p>
        </w:tc>
      </w:tr>
      <w:tr w:rsidR="00154B7D" w14:paraId="0163F8E3" w14:textId="77777777" w:rsidTr="00154B7D">
        <w:tc>
          <w:tcPr>
            <w:tcW w:w="2842" w:type="dxa"/>
          </w:tcPr>
          <w:p w14:paraId="39BC5DC2" w14:textId="5F93917F"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Predictive Modeling &amp; Statistical Validity</w:t>
            </w:r>
          </w:p>
        </w:tc>
        <w:tc>
          <w:tcPr>
            <w:tcW w:w="2843" w:type="dxa"/>
          </w:tcPr>
          <w:p w14:paraId="0A659C5E" w14:textId="527EDC2B"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Scheduled for Week 7; proposed deferral at this checkpoint</w:t>
            </w:r>
          </w:p>
        </w:tc>
        <w:tc>
          <w:tcPr>
            <w:tcW w:w="2843" w:type="dxa"/>
          </w:tcPr>
          <w:p w14:paraId="772C8129" w14:textId="65D744FA"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___ / 5</w:t>
            </w:r>
          </w:p>
        </w:tc>
      </w:tr>
      <w:tr w:rsidR="00154B7D" w14:paraId="79E545CD" w14:textId="77777777" w:rsidTr="00154B7D">
        <w:tc>
          <w:tcPr>
            <w:tcW w:w="2842" w:type="dxa"/>
          </w:tcPr>
          <w:p w14:paraId="734FBAA8" w14:textId="5792302E"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Business Intelligence &amp; InGen Platform Anchoring</w:t>
            </w:r>
          </w:p>
        </w:tc>
        <w:tc>
          <w:tcPr>
            <w:tcW w:w="2843" w:type="dxa"/>
          </w:tcPr>
          <w:p w14:paraId="54B8C6F4" w14:textId="1AAA5584"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Demonstrated through platform-specific questions and recommendations</w:t>
            </w:r>
          </w:p>
        </w:tc>
        <w:tc>
          <w:tcPr>
            <w:tcW w:w="2843" w:type="dxa"/>
          </w:tcPr>
          <w:p w14:paraId="4FB550B0" w14:textId="235AFA1D"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___ / 5</w:t>
            </w:r>
          </w:p>
        </w:tc>
      </w:tr>
      <w:tr w:rsidR="00154B7D" w14:paraId="38914E71" w14:textId="77777777" w:rsidTr="00154B7D">
        <w:tc>
          <w:tcPr>
            <w:tcW w:w="2842" w:type="dxa"/>
          </w:tcPr>
          <w:p w14:paraId="6BB3CFD1" w14:textId="360C3510"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Remote Ownership &amp; Async Professionalism</w:t>
            </w:r>
          </w:p>
        </w:tc>
        <w:tc>
          <w:tcPr>
            <w:tcW w:w="2843" w:type="dxa"/>
          </w:tcPr>
          <w:p w14:paraId="6C3878FD" w14:textId="555D01E9"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Weekly documentation provided; communication timeliness requires supervisor confirmation</w:t>
            </w:r>
          </w:p>
        </w:tc>
        <w:tc>
          <w:tcPr>
            <w:tcW w:w="2843" w:type="dxa"/>
          </w:tcPr>
          <w:p w14:paraId="4D8669AF" w14:textId="6D236B68"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___ / 5</w:t>
            </w:r>
          </w:p>
        </w:tc>
      </w:tr>
    </w:tbl>
    <w:p w14:paraId="0049687D" w14:textId="77777777" w:rsidR="00154B7D" w:rsidRDefault="00154B7D" w:rsidP="00154B7D">
      <w:pPr>
        <w:rPr>
          <w:rFonts w:ascii="Times New Roman" w:hAnsi="Times New Roman" w:cs="Times New Roman"/>
          <w:sz w:val="22"/>
        </w:rPr>
      </w:pPr>
    </w:p>
    <w:p w14:paraId="1A998802" w14:textId="6A2270F9"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Analytical Rigor &amp; Data Methodology</w:t>
      </w:r>
    </w:p>
    <w:p w14:paraId="0F0368A8"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 xml:space="preserve">I reviewed the anticipated data types, analytical opportunities, and data-quality challenges across Aido Rover, Fari, Sentinel Prime AI, Senpai, and Aido Humanoid. I assessed whether </w:t>
      </w:r>
      <w:r w:rsidRPr="00154B7D">
        <w:rPr>
          <w:rFonts w:ascii="Times New Roman" w:hAnsi="Times New Roman" w:cs="Times New Roman"/>
          <w:sz w:val="22"/>
        </w:rPr>
        <w:lastRenderedPageBreak/>
        <w:t>public comparables matched each platform’s intended use and documented limitations involving selection bias, confounding, source heterogeneity, and external validity.</w:t>
      </w:r>
    </w:p>
    <w:p w14:paraId="46494218" w14:textId="77777777" w:rsidR="00154B7D" w:rsidRPr="00154B7D" w:rsidRDefault="00154B7D" w:rsidP="00154B7D">
      <w:pPr>
        <w:jc w:val="left"/>
        <w:rPr>
          <w:rFonts w:ascii="Times New Roman" w:hAnsi="Times New Roman" w:cs="Times New Roman"/>
          <w:sz w:val="22"/>
        </w:rPr>
      </w:pPr>
    </w:p>
    <w:p w14:paraId="10D2AF4B"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In Week 2, I compared five robotics companies and analyzed six quarters of Knightscope financial data. I distinguished acquisition-related revenue growth from autonomous-robot commercialization, documented the conversion of cumulative operating cash flow into quarterly cash burn, and avoided calculating revenue per robot from a network count that included other devices and personnel.</w:t>
      </w:r>
    </w:p>
    <w:p w14:paraId="61807B90" w14:textId="77777777" w:rsidR="00154B7D" w:rsidRPr="00154B7D" w:rsidRDefault="00154B7D" w:rsidP="00154B7D">
      <w:pPr>
        <w:jc w:val="left"/>
        <w:rPr>
          <w:rFonts w:ascii="Times New Roman" w:hAnsi="Times New Roman" w:cs="Times New Roman"/>
          <w:sz w:val="22"/>
        </w:rPr>
      </w:pPr>
    </w:p>
    <w:p w14:paraId="7D9B7931"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In Week 3, I defined 15 KPIs with explicit numerators, denominators, formulas, reporting frequencies, sources, and limitations. A significant methodological decision was distinguishing false alerts as a share of generated alerts from the conventional statistical false-positive rate.</w:t>
      </w:r>
    </w:p>
    <w:p w14:paraId="4397B04F" w14:textId="77777777" w:rsidR="00154B7D" w:rsidRPr="00154B7D" w:rsidRDefault="00154B7D" w:rsidP="00154B7D">
      <w:pPr>
        <w:jc w:val="left"/>
        <w:rPr>
          <w:rFonts w:ascii="Times New Roman" w:hAnsi="Times New Roman" w:cs="Times New Roman"/>
          <w:sz w:val="22"/>
        </w:rPr>
      </w:pPr>
    </w:p>
    <w:p w14:paraId="5085440C"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Improvement priority:</w:t>
      </w:r>
      <w:r w:rsidRPr="00154B7D">
        <w:rPr>
          <w:rFonts w:ascii="Times New Roman" w:hAnsi="Times New Roman" w:cs="Times New Roman"/>
          <w:sz w:val="22"/>
        </w:rPr>
        <w:t xml:space="preserve"> Keep definitions and explanatory notes consistent across the revised Excel framework, notebook, and dashboard. Maintain a clear distinction between externally reported benchmarks and internally proposed thresholds.</w:t>
      </w:r>
    </w:p>
    <w:p w14:paraId="7E05EB7F" w14:textId="77777777" w:rsidR="00154B7D" w:rsidRPr="00154B7D" w:rsidRDefault="00154B7D" w:rsidP="00154B7D">
      <w:pPr>
        <w:jc w:val="left"/>
        <w:rPr>
          <w:rFonts w:ascii="Times New Roman" w:hAnsi="Times New Roman" w:cs="Times New Roman"/>
          <w:sz w:val="22"/>
        </w:rPr>
      </w:pPr>
    </w:p>
    <w:p w14:paraId="23907087" w14:textId="1E1BBA0A"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Python Code Quality &amp; Automation Discipline</w:t>
      </w:r>
    </w:p>
    <w:p w14:paraId="7739C1A8"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I used pandas and NumPy to standardize financial data, generate synthetic measurement inputs, calculate KPIs, create rolling features, and export analysis-ready datasets. The pipeline uses RANDOM_STATE = 42, relative paths, validation assertions, and documented simulation assumptions.</w:t>
      </w:r>
    </w:p>
    <w:p w14:paraId="6D724E60" w14:textId="77777777" w:rsidR="00154B7D" w:rsidRPr="00154B7D" w:rsidRDefault="00154B7D" w:rsidP="00154B7D">
      <w:pPr>
        <w:jc w:val="left"/>
        <w:rPr>
          <w:rFonts w:ascii="Times New Roman" w:hAnsi="Times New Roman" w:cs="Times New Roman"/>
          <w:sz w:val="22"/>
        </w:rPr>
      </w:pPr>
    </w:p>
    <w:p w14:paraId="7DC74955"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 xml:space="preserve">The operational simulation produces </w:t>
      </w:r>
      <w:r w:rsidRPr="0082784D">
        <w:rPr>
          <w:rFonts w:ascii="Times New Roman" w:hAnsi="Times New Roman" w:cs="Times New Roman"/>
          <w:sz w:val="22"/>
        </w:rPr>
        <w:t>180 platform-unit-month records and 900 KPI measurement records</w:t>
      </w:r>
      <w:r w:rsidRPr="00154B7D">
        <w:rPr>
          <w:rFonts w:ascii="Times New Roman" w:hAnsi="Times New Roman" w:cs="Times New Roman"/>
          <w:sz w:val="22"/>
        </w:rPr>
        <w:t xml:space="preserve"> across three platforms, five deployment units per platform, and twelve months. Supporting outputs retain calculation inputs, source references, assumptions, and quality flags. Validation covers duplicate keys, invalid dates, negative inputs, percentage bounds, and zero denominators.</w:t>
      </w:r>
    </w:p>
    <w:p w14:paraId="06D69F5D" w14:textId="77777777" w:rsidR="00154B7D" w:rsidRPr="00154B7D" w:rsidRDefault="00154B7D" w:rsidP="00154B7D">
      <w:pPr>
        <w:jc w:val="left"/>
        <w:rPr>
          <w:rFonts w:ascii="Times New Roman" w:hAnsi="Times New Roman" w:cs="Times New Roman"/>
          <w:sz w:val="22"/>
        </w:rPr>
      </w:pPr>
    </w:p>
    <w:p w14:paraId="61553318"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 xml:space="preserve">The Week 4 notebook reshapes the operational dataset into </w:t>
      </w:r>
      <w:r w:rsidRPr="0082784D">
        <w:rPr>
          <w:rFonts w:ascii="Times New Roman" w:hAnsi="Times New Roman" w:cs="Times New Roman"/>
          <w:sz w:val="22"/>
        </w:rPr>
        <w:t>900 long-format records</w:t>
      </w:r>
      <w:r w:rsidRPr="00154B7D">
        <w:rPr>
          <w:rFonts w:ascii="Times New Roman" w:hAnsi="Times New Roman" w:cs="Times New Roman"/>
          <w:sz w:val="22"/>
        </w:rPr>
        <w:t xml:space="preserve"> for Tableau. Repeated simulation runs reproduced identical CSV outputs.</w:t>
      </w:r>
    </w:p>
    <w:p w14:paraId="5C267B23" w14:textId="77777777" w:rsidR="00154B7D" w:rsidRPr="00154B7D" w:rsidRDefault="00154B7D" w:rsidP="00154B7D">
      <w:pPr>
        <w:jc w:val="left"/>
        <w:rPr>
          <w:rFonts w:ascii="Times New Roman" w:hAnsi="Times New Roman" w:cs="Times New Roman"/>
          <w:sz w:val="22"/>
        </w:rPr>
      </w:pPr>
    </w:p>
    <w:p w14:paraId="1C960B3E"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Improvement priority:</w:t>
      </w:r>
      <w:r w:rsidRPr="00154B7D">
        <w:rPr>
          <w:rFonts w:ascii="Times New Roman" w:hAnsi="Times New Roman" w:cs="Times New Roman"/>
          <w:sz w:val="22"/>
        </w:rPr>
        <w:t xml:space="preserve"> Consolidate package requirements, document canonical input filenames and the transfer of Week 3 outputs into Week 4, and record a complete clean-kernel execution check. Measure a manual-processing baseline before presenting estimated automation savings as achieved savings.</w:t>
      </w:r>
    </w:p>
    <w:p w14:paraId="2BF37A19" w14:textId="77777777" w:rsidR="00154B7D" w:rsidRPr="00154B7D" w:rsidRDefault="00154B7D" w:rsidP="00154B7D">
      <w:pPr>
        <w:jc w:val="left"/>
        <w:rPr>
          <w:rFonts w:ascii="Times New Roman" w:hAnsi="Times New Roman" w:cs="Times New Roman"/>
          <w:sz w:val="22"/>
        </w:rPr>
      </w:pPr>
    </w:p>
    <w:p w14:paraId="433A161A" w14:textId="495C91E1"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NLP &amp; Text Analytics Execution</w:t>
      </w:r>
    </w:p>
    <w:p w14:paraId="266EAF59"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NLP execution was scheduled for Weeks 5–6 and was outside the completed Week 4 scope. The first four weeks established Fari as the NLP anchor and identified source heterogeneity, marketing bias, and label noise as important methodological risks.</w:t>
      </w:r>
    </w:p>
    <w:p w14:paraId="2FD6337A" w14:textId="77777777" w:rsidR="00154B7D" w:rsidRPr="00154B7D" w:rsidRDefault="00154B7D" w:rsidP="00154B7D">
      <w:pPr>
        <w:jc w:val="left"/>
        <w:rPr>
          <w:rFonts w:ascii="Times New Roman" w:hAnsi="Times New Roman" w:cs="Times New Roman"/>
          <w:sz w:val="22"/>
        </w:rPr>
      </w:pPr>
    </w:p>
    <w:p w14:paraId="7F49C33E"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Next-phase commitment:</w:t>
      </w:r>
      <w:r w:rsidRPr="00154B7D">
        <w:rPr>
          <w:rFonts w:ascii="Times New Roman" w:hAnsi="Times New Roman" w:cs="Times New Roman"/>
          <w:sz w:val="22"/>
        </w:rPr>
        <w:t xml:space="preserve"> Collect traceable public text, document preprocessing decisions, </w:t>
      </w:r>
      <w:r w:rsidRPr="00154B7D">
        <w:rPr>
          <w:rFonts w:ascii="Times New Roman" w:hAnsi="Times New Roman" w:cs="Times New Roman"/>
          <w:sz w:val="22"/>
        </w:rPr>
        <w:lastRenderedPageBreak/>
        <w:t>interpret TF-IDF terms and LDA topics, and evaluate sentiment, classification, and clustering results with the specified metrics.</w:t>
      </w:r>
    </w:p>
    <w:p w14:paraId="52942EF7" w14:textId="77777777" w:rsidR="00154B7D" w:rsidRPr="00154B7D" w:rsidRDefault="00154B7D" w:rsidP="00154B7D">
      <w:pPr>
        <w:jc w:val="left"/>
        <w:rPr>
          <w:rFonts w:ascii="Times New Roman" w:hAnsi="Times New Roman" w:cs="Times New Roman"/>
          <w:sz w:val="22"/>
        </w:rPr>
      </w:pPr>
    </w:p>
    <w:p w14:paraId="4BD42087"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Mid-point assessment:</w:t>
      </w:r>
      <w:r w:rsidRPr="00154B7D">
        <w:rPr>
          <w:rFonts w:ascii="Times New Roman" w:hAnsi="Times New Roman" w:cs="Times New Roman"/>
          <w:sz w:val="22"/>
        </w:rPr>
        <w:t xml:space="preserve"> Proposed deferral until the relevant deliverables are available, subject to supervisor agreement.</w:t>
      </w:r>
    </w:p>
    <w:p w14:paraId="71F192FC" w14:textId="77777777" w:rsidR="00154B7D" w:rsidRPr="00154B7D" w:rsidRDefault="00154B7D" w:rsidP="00154B7D">
      <w:pPr>
        <w:jc w:val="left"/>
        <w:rPr>
          <w:rFonts w:ascii="Times New Roman" w:hAnsi="Times New Roman" w:cs="Times New Roman"/>
          <w:sz w:val="22"/>
        </w:rPr>
      </w:pPr>
    </w:p>
    <w:p w14:paraId="23F0B063" w14:textId="4A70F082"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Data Visualization &amp; Dashboard Quality</w:t>
      </w:r>
    </w:p>
    <w:p w14:paraId="63AB9B88"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I completed eight Python visualizations covering primary-KPI distributions, correlations, monthly trends, cross-platform incident detection, and 1.5×IQR outlier analysis. Charts include descriptive finding-based titles, measurement labels, and synthetic-data source notes.</w:t>
      </w:r>
    </w:p>
    <w:p w14:paraId="3F927812" w14:textId="77777777" w:rsidR="00154B7D" w:rsidRPr="00154B7D" w:rsidRDefault="00154B7D" w:rsidP="00154B7D">
      <w:pPr>
        <w:jc w:val="left"/>
        <w:rPr>
          <w:rFonts w:ascii="Times New Roman" w:hAnsi="Times New Roman" w:cs="Times New Roman"/>
          <w:sz w:val="22"/>
        </w:rPr>
      </w:pPr>
    </w:p>
    <w:p w14:paraId="497A9AE1"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The Tableau dashboard contains three platform sections, five KPI cards per platform, three primary-KPI trend charts, a cross-platform incident-detection comparison, and a month filter. The analysis preserves structural missing values because platform-specific KPIs are not applicable to every platform.</w:t>
      </w:r>
    </w:p>
    <w:p w14:paraId="535DCC32" w14:textId="77777777" w:rsidR="00154B7D" w:rsidRPr="00154B7D" w:rsidRDefault="00154B7D" w:rsidP="00154B7D">
      <w:pPr>
        <w:jc w:val="left"/>
        <w:rPr>
          <w:rFonts w:ascii="Times New Roman" w:hAnsi="Times New Roman" w:cs="Times New Roman"/>
          <w:sz w:val="22"/>
        </w:rPr>
      </w:pPr>
    </w:p>
    <w:p w14:paraId="7F9487D8"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 xml:space="preserve">For example, the simulated data show average Aido Rover patrol coverage of approximately </w:t>
      </w:r>
      <w:r w:rsidRPr="0082784D">
        <w:rPr>
          <w:rFonts w:ascii="Times New Roman" w:hAnsi="Times New Roman" w:cs="Times New Roman"/>
          <w:sz w:val="22"/>
        </w:rPr>
        <w:t>93.3%</w:t>
      </w:r>
      <w:r w:rsidRPr="00154B7D">
        <w:rPr>
          <w:rFonts w:ascii="Times New Roman" w:hAnsi="Times New Roman" w:cs="Times New Roman"/>
          <w:sz w:val="22"/>
        </w:rPr>
        <w:t xml:space="preserve">, Sentinel incident detection of </w:t>
      </w:r>
      <w:r w:rsidRPr="0082784D">
        <w:rPr>
          <w:rFonts w:ascii="Times New Roman" w:hAnsi="Times New Roman" w:cs="Times New Roman"/>
          <w:sz w:val="22"/>
        </w:rPr>
        <w:t>92.5%</w:t>
      </w:r>
      <w:r w:rsidRPr="00154B7D">
        <w:rPr>
          <w:rFonts w:ascii="Times New Roman" w:hAnsi="Times New Roman" w:cs="Times New Roman"/>
          <w:sz w:val="22"/>
        </w:rPr>
        <w:t xml:space="preserve">, and Fari active-day engagement of </w:t>
      </w:r>
      <w:r w:rsidRPr="0082784D">
        <w:rPr>
          <w:rFonts w:ascii="Times New Roman" w:hAnsi="Times New Roman" w:cs="Times New Roman"/>
          <w:sz w:val="22"/>
        </w:rPr>
        <w:t>77.0%</w:t>
      </w:r>
      <w:r w:rsidRPr="00154B7D">
        <w:rPr>
          <w:rFonts w:ascii="Times New Roman" w:hAnsi="Times New Roman" w:cs="Times New Roman"/>
          <w:sz w:val="22"/>
        </w:rPr>
        <w:t>. These results describe the simulation rather than observed operating performance.</w:t>
      </w:r>
    </w:p>
    <w:p w14:paraId="5D3B2D9F" w14:textId="77777777" w:rsidR="00154B7D" w:rsidRPr="00154B7D" w:rsidRDefault="00154B7D" w:rsidP="00154B7D">
      <w:pPr>
        <w:jc w:val="left"/>
        <w:rPr>
          <w:rFonts w:ascii="Times New Roman" w:hAnsi="Times New Roman" w:cs="Times New Roman"/>
          <w:sz w:val="22"/>
        </w:rPr>
      </w:pPr>
    </w:p>
    <w:p w14:paraId="002C6F12"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Improvement priority:</w:t>
      </w:r>
      <w:r w:rsidRPr="00154B7D">
        <w:rPr>
          <w:rFonts w:ascii="Times New Roman" w:hAnsi="Times New Roman" w:cs="Times New Roman"/>
          <w:sz w:val="22"/>
        </w:rPr>
        <w:t xml:space="preserve"> Add the planned platform and KPI-category filter controls, verify their effects across relevant worksheets, and conduct the 30-second insight-extraction test with an unfamiliar reader.</w:t>
      </w:r>
    </w:p>
    <w:p w14:paraId="6343AC0B" w14:textId="77777777" w:rsidR="00154B7D" w:rsidRPr="00154B7D" w:rsidRDefault="00154B7D" w:rsidP="00154B7D">
      <w:pPr>
        <w:jc w:val="left"/>
        <w:rPr>
          <w:rFonts w:ascii="Times New Roman" w:hAnsi="Times New Roman" w:cs="Times New Roman"/>
          <w:sz w:val="22"/>
        </w:rPr>
      </w:pPr>
    </w:p>
    <w:p w14:paraId="43ADB3EB" w14:textId="42751756"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Predictive Modeling &amp; Statistical Validity</w:t>
      </w:r>
    </w:p>
    <w:p w14:paraId="79DC28EB"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Predictive modeling was scheduled for Week 7. No trained ROI prediction model, cross-validation results, or model card is claimed at this checkpoint.</w:t>
      </w:r>
    </w:p>
    <w:p w14:paraId="43BBB3BD" w14:textId="77777777" w:rsidR="0082784D" w:rsidRPr="00154B7D" w:rsidRDefault="0082784D" w:rsidP="00154B7D">
      <w:pPr>
        <w:jc w:val="left"/>
        <w:rPr>
          <w:rFonts w:ascii="Times New Roman" w:hAnsi="Times New Roman" w:cs="Times New Roman"/>
          <w:sz w:val="22"/>
        </w:rPr>
      </w:pPr>
    </w:p>
    <w:p w14:paraId="0E1AB2D7"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The completed KPI framework and simulation provide documented operational variables that can support the later Aido Rover deployment scenario.</w:t>
      </w:r>
    </w:p>
    <w:p w14:paraId="626E9AD4" w14:textId="77777777" w:rsidR="0082784D" w:rsidRPr="00154B7D" w:rsidRDefault="0082784D" w:rsidP="00154B7D">
      <w:pPr>
        <w:jc w:val="left"/>
        <w:rPr>
          <w:rFonts w:ascii="Times New Roman" w:hAnsi="Times New Roman" w:cs="Times New Roman"/>
          <w:sz w:val="22"/>
        </w:rPr>
      </w:pPr>
    </w:p>
    <w:p w14:paraId="314B9223"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Next-phase commitment:</w:t>
      </w:r>
      <w:r w:rsidRPr="00154B7D">
        <w:rPr>
          <w:rFonts w:ascii="Times New Roman" w:hAnsi="Times New Roman" w:cs="Times New Roman"/>
          <w:sz w:val="22"/>
        </w:rPr>
        <w:t xml:space="preserve"> Construct a transparent three-year NPV target, compare Linear Regression, Random Forest, and Gradient Boosting models, and report held-out RMSE, R², five-fold cross-validation, and interpreted feature importance. Document that performance on synthetic scenarios does not demonstrate predictive accuracy on real deployments.</w:t>
      </w:r>
    </w:p>
    <w:p w14:paraId="72319E47" w14:textId="77777777" w:rsidR="0082784D" w:rsidRPr="00154B7D" w:rsidRDefault="0082784D" w:rsidP="00154B7D">
      <w:pPr>
        <w:jc w:val="left"/>
        <w:rPr>
          <w:rFonts w:ascii="Times New Roman" w:hAnsi="Times New Roman" w:cs="Times New Roman"/>
          <w:sz w:val="22"/>
        </w:rPr>
      </w:pPr>
    </w:p>
    <w:p w14:paraId="3B320CC0"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Mid-point assessment:</w:t>
      </w:r>
      <w:r w:rsidRPr="00154B7D">
        <w:rPr>
          <w:rFonts w:ascii="Times New Roman" w:hAnsi="Times New Roman" w:cs="Times New Roman"/>
          <w:sz w:val="22"/>
        </w:rPr>
        <w:t xml:space="preserve"> Proposed deferral until Week 7, subject to supervisor agreement.</w:t>
      </w:r>
    </w:p>
    <w:p w14:paraId="05D293FB" w14:textId="77777777" w:rsidR="00154B7D" w:rsidRPr="00154B7D" w:rsidRDefault="00154B7D" w:rsidP="00154B7D">
      <w:pPr>
        <w:jc w:val="left"/>
        <w:rPr>
          <w:rFonts w:ascii="Times New Roman" w:hAnsi="Times New Roman" w:cs="Times New Roman"/>
          <w:sz w:val="22"/>
        </w:rPr>
      </w:pPr>
    </w:p>
    <w:p w14:paraId="0A1FF8E5" w14:textId="4AB1EE3B"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Business Intelligence &amp; InGen Platform Anchoring</w:t>
      </w:r>
    </w:p>
    <w:p w14:paraId="079C2630" w14:textId="77777777"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sz w:val="22"/>
        </w:rPr>
        <w:t>I connected the analytical work to specific platform decisions. Aido Rover’s framework addresses patrol coverage, detection, reliability, and energy consumption. Sentinel Prime AI’s framework addresses detection quality, false-alert burden, monitoring coverage, and operator response. Fari’s framework addresses engagement, interaction frequency, response latency, and goal completion.</w:t>
      </w:r>
    </w:p>
    <w:p w14:paraId="0C71AD5F"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lastRenderedPageBreak/>
        <w:t>The market intelligence work recommends separating robot-level economics from broader service revenue and assessing commercialization through measurable deployment outcomes. The KPI framework translates these recommendations into the operational records that InGen would need to collect.</w:t>
      </w:r>
    </w:p>
    <w:p w14:paraId="1F34E8CE" w14:textId="77777777" w:rsidR="0082784D" w:rsidRPr="00154B7D" w:rsidRDefault="0082784D" w:rsidP="00154B7D">
      <w:pPr>
        <w:jc w:val="left"/>
        <w:rPr>
          <w:rFonts w:ascii="Times New Roman" w:hAnsi="Times New Roman" w:cs="Times New Roman"/>
          <w:sz w:val="22"/>
        </w:rPr>
      </w:pPr>
    </w:p>
    <w:p w14:paraId="0014D641"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Improvement priority:</w:t>
      </w:r>
      <w:r w:rsidRPr="00154B7D">
        <w:rPr>
          <w:rFonts w:ascii="Times New Roman" w:hAnsi="Times New Roman" w:cs="Times New Roman"/>
          <w:sz w:val="22"/>
        </w:rPr>
        <w:t xml:space="preserve"> Turn proposed thresholds into explicit review actions, identify responsible stakeholders, and confirm which definitions and targets are suitable for production use.</w:t>
      </w:r>
    </w:p>
    <w:p w14:paraId="3F7490EB" w14:textId="77777777" w:rsidR="00154B7D" w:rsidRPr="00154B7D" w:rsidRDefault="00154B7D" w:rsidP="00154B7D">
      <w:pPr>
        <w:jc w:val="left"/>
        <w:rPr>
          <w:rFonts w:ascii="Times New Roman" w:hAnsi="Times New Roman" w:cs="Times New Roman"/>
          <w:sz w:val="22"/>
        </w:rPr>
      </w:pPr>
    </w:p>
    <w:p w14:paraId="3A6C2CB1" w14:textId="3F3A441F"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Remote Ownership &amp; Async Professionalism</w:t>
      </w:r>
    </w:p>
    <w:p w14:paraId="62FB5B2A"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I maintained weekly logs explaining analytical decisions and their reasoning. These include proxy selection, interpretation of acquisition-driven growth, KPI denominator choices, structural missingness, and dashboard development constraints.</w:t>
      </w:r>
    </w:p>
    <w:p w14:paraId="191A845C" w14:textId="77777777" w:rsidR="0082784D" w:rsidRPr="00154B7D" w:rsidRDefault="0082784D" w:rsidP="00154B7D">
      <w:pPr>
        <w:jc w:val="left"/>
        <w:rPr>
          <w:rFonts w:ascii="Times New Roman" w:hAnsi="Times New Roman" w:cs="Times New Roman"/>
          <w:sz w:val="22"/>
        </w:rPr>
      </w:pPr>
    </w:p>
    <w:p w14:paraId="5FE55211"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sz w:val="22"/>
        </w:rPr>
        <w:t>I adapted the work to unavailable internal data by documenting assumptions and using clearly labeled synthetic observations. The Week 4 log also records Tableau stability problems and the decision to prioritize a stable dashboard layout.</w:t>
      </w:r>
    </w:p>
    <w:p w14:paraId="2776397D" w14:textId="77777777" w:rsidR="0082784D" w:rsidRPr="00154B7D" w:rsidRDefault="0082784D" w:rsidP="00154B7D">
      <w:pPr>
        <w:jc w:val="left"/>
        <w:rPr>
          <w:rFonts w:ascii="Times New Roman" w:hAnsi="Times New Roman" w:cs="Times New Roman"/>
          <w:sz w:val="22"/>
        </w:rPr>
      </w:pPr>
    </w:p>
    <w:p w14:paraId="7B8A4105" w14:textId="77777777" w:rsid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Improvement priority:</w:t>
      </w:r>
      <w:r w:rsidRPr="00154B7D">
        <w:rPr>
          <w:rFonts w:ascii="Times New Roman" w:hAnsi="Times New Roman" w:cs="Times New Roman"/>
          <w:sz w:val="22"/>
        </w:rPr>
        <w:t xml:space="preserve"> Maintain a consolidated deliverable register and communication log. Daily-update timing, submission deadlines, and blocker-escalation performance should be confirmed by the supervisor against communication records.</w:t>
      </w:r>
    </w:p>
    <w:p w14:paraId="6C007FAF" w14:textId="77777777" w:rsidR="0082784D" w:rsidRPr="00154B7D" w:rsidRDefault="0082784D" w:rsidP="00154B7D">
      <w:pPr>
        <w:jc w:val="left"/>
        <w:rPr>
          <w:rFonts w:ascii="Times New Roman" w:hAnsi="Times New Roman" w:cs="Times New Roman"/>
          <w:sz w:val="22"/>
        </w:rPr>
      </w:pPr>
    </w:p>
    <w:p w14:paraId="01ED5DC6" w14:textId="77777777"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Priorities for Weeks 5–8</w:t>
      </w:r>
    </w:p>
    <w:p w14:paraId="0A331946" w14:textId="77777777" w:rsidR="00154B7D" w:rsidRPr="00154B7D" w:rsidRDefault="00154B7D" w:rsidP="00154B7D">
      <w:pPr>
        <w:numPr>
          <w:ilvl w:val="0"/>
          <w:numId w:val="1"/>
        </w:numPr>
        <w:jc w:val="left"/>
        <w:rPr>
          <w:rFonts w:ascii="Times New Roman" w:hAnsi="Times New Roman" w:cs="Times New Roman"/>
          <w:sz w:val="22"/>
        </w:rPr>
      </w:pPr>
      <w:r w:rsidRPr="00154B7D">
        <w:rPr>
          <w:rFonts w:ascii="Times New Roman" w:hAnsi="Times New Roman" w:cs="Times New Roman"/>
          <w:b/>
          <w:bCs/>
          <w:sz w:val="22"/>
        </w:rPr>
        <w:t>Weeks 5–6:</w:t>
      </w:r>
      <w:r w:rsidRPr="00154B7D">
        <w:rPr>
          <w:rFonts w:ascii="Times New Roman" w:hAnsi="Times New Roman" w:cs="Times New Roman"/>
          <w:sz w:val="22"/>
        </w:rPr>
        <w:t xml:space="preserve"> Complete the public-text NLP pipeline, source-aware interpretation, and classification label-quality assessment.</w:t>
      </w:r>
    </w:p>
    <w:p w14:paraId="655D4994" w14:textId="77777777" w:rsidR="00154B7D" w:rsidRPr="00154B7D" w:rsidRDefault="00154B7D" w:rsidP="00154B7D">
      <w:pPr>
        <w:numPr>
          <w:ilvl w:val="0"/>
          <w:numId w:val="1"/>
        </w:numPr>
        <w:jc w:val="left"/>
        <w:rPr>
          <w:rFonts w:ascii="Times New Roman" w:hAnsi="Times New Roman" w:cs="Times New Roman"/>
          <w:sz w:val="22"/>
        </w:rPr>
      </w:pPr>
      <w:r w:rsidRPr="00154B7D">
        <w:rPr>
          <w:rFonts w:ascii="Times New Roman" w:hAnsi="Times New Roman" w:cs="Times New Roman"/>
          <w:b/>
          <w:bCs/>
          <w:sz w:val="22"/>
        </w:rPr>
        <w:t>Week 7:</w:t>
      </w:r>
      <w:r w:rsidRPr="00154B7D">
        <w:rPr>
          <w:rFonts w:ascii="Times New Roman" w:hAnsi="Times New Roman" w:cs="Times New Roman"/>
          <w:sz w:val="22"/>
        </w:rPr>
        <w:t xml:space="preserve"> Complete the Aido Rover deployment NPV model, model comparison, evaluation, and model card.</w:t>
      </w:r>
    </w:p>
    <w:p w14:paraId="46DC979C" w14:textId="77777777" w:rsidR="00154B7D" w:rsidRPr="00154B7D" w:rsidRDefault="00154B7D" w:rsidP="00154B7D">
      <w:pPr>
        <w:numPr>
          <w:ilvl w:val="0"/>
          <w:numId w:val="1"/>
        </w:numPr>
        <w:jc w:val="left"/>
        <w:rPr>
          <w:rFonts w:ascii="Times New Roman" w:hAnsi="Times New Roman" w:cs="Times New Roman"/>
          <w:sz w:val="22"/>
        </w:rPr>
      </w:pPr>
      <w:r w:rsidRPr="00154B7D">
        <w:rPr>
          <w:rFonts w:ascii="Times New Roman" w:hAnsi="Times New Roman" w:cs="Times New Roman"/>
          <w:b/>
          <w:bCs/>
          <w:sz w:val="22"/>
        </w:rPr>
        <w:t>Week 8:</w:t>
      </w:r>
      <w:r w:rsidRPr="00154B7D">
        <w:rPr>
          <w:rFonts w:ascii="Times New Roman" w:hAnsi="Times New Roman" w:cs="Times New Roman"/>
          <w:sz w:val="22"/>
        </w:rPr>
        <w:t xml:space="preserve"> Integrate findings into the capstone report and presentation, with platform-specific recommendations and clearly stated limitations.</w:t>
      </w:r>
    </w:p>
    <w:p w14:paraId="17B118F6" w14:textId="77777777" w:rsidR="00154B7D" w:rsidRPr="00154B7D" w:rsidRDefault="00154B7D" w:rsidP="00154B7D">
      <w:pPr>
        <w:numPr>
          <w:ilvl w:val="0"/>
          <w:numId w:val="1"/>
        </w:numPr>
        <w:jc w:val="left"/>
        <w:rPr>
          <w:rFonts w:ascii="Times New Roman" w:hAnsi="Times New Roman" w:cs="Times New Roman"/>
          <w:sz w:val="22"/>
        </w:rPr>
      </w:pPr>
      <w:r w:rsidRPr="00154B7D">
        <w:rPr>
          <w:rFonts w:ascii="Times New Roman" w:hAnsi="Times New Roman" w:cs="Times New Roman"/>
          <w:b/>
          <w:bCs/>
          <w:sz w:val="22"/>
        </w:rPr>
        <w:t>Across remaining weeks:</w:t>
      </w:r>
      <w:r w:rsidRPr="00154B7D">
        <w:rPr>
          <w:rFonts w:ascii="Times New Roman" w:hAnsi="Times New Roman" w:cs="Times New Roman"/>
          <w:sz w:val="22"/>
        </w:rPr>
        <w:t xml:space="preserve"> Resolve dashboard filter gaps, synchronize documentation, and strengthen reproducibility and submission records.</w:t>
      </w:r>
    </w:p>
    <w:p w14:paraId="6C6D52CF" w14:textId="77777777" w:rsidR="00154B7D" w:rsidRDefault="00154B7D" w:rsidP="00154B7D">
      <w:pPr>
        <w:jc w:val="left"/>
        <w:rPr>
          <w:rFonts w:ascii="Times New Roman" w:hAnsi="Times New Roman" w:cs="Times New Roman"/>
          <w:b/>
          <w:bCs/>
          <w:sz w:val="22"/>
        </w:rPr>
      </w:pPr>
    </w:p>
    <w:p w14:paraId="00174E51" w14:textId="3954271D"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Supervisor Review</w:t>
      </w:r>
    </w:p>
    <w:p w14:paraId="42AA7321" w14:textId="140B9D9E" w:rsidR="00154B7D" w:rsidRDefault="00154B7D" w:rsidP="00154B7D">
      <w:pPr>
        <w:jc w:val="left"/>
        <w:rPr>
          <w:rFonts w:ascii="Times New Roman" w:hAnsi="Times New Roman" w:cs="Times New Roman" w:hint="eastAsia"/>
          <w:sz w:val="22"/>
        </w:rPr>
      </w:pPr>
      <w:r w:rsidRPr="00154B7D">
        <w:rPr>
          <w:rFonts w:ascii="Times New Roman" w:hAnsi="Times New Roman" w:cs="Times New Roman"/>
          <w:b/>
          <w:bCs/>
          <w:sz w:val="22"/>
        </w:rPr>
        <w:t>Overall feedback:</w:t>
      </w:r>
    </w:p>
    <w:p w14:paraId="0EB79541" w14:textId="77777777" w:rsidR="00154B7D" w:rsidRDefault="00154B7D" w:rsidP="00154B7D">
      <w:pPr>
        <w:jc w:val="left"/>
        <w:rPr>
          <w:rFonts w:ascii="Times New Roman" w:hAnsi="Times New Roman" w:cs="Times New Roman"/>
          <w:sz w:val="22"/>
        </w:rPr>
      </w:pPr>
    </w:p>
    <w:p w14:paraId="4569F028" w14:textId="60173D8D"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Mid-point total:</w:t>
      </w:r>
      <w:r w:rsidRPr="00154B7D">
        <w:rPr>
          <w:rFonts w:ascii="Times New Roman" w:hAnsi="Times New Roman" w:cs="Times New Roman"/>
          <w:sz w:val="22"/>
        </w:rPr>
        <w:t xml:space="preserve"> ___ / 35</w:t>
      </w:r>
    </w:p>
    <w:p w14:paraId="0C2F19C2" w14:textId="4A88218F" w:rsidR="00154B7D" w:rsidRPr="00154B7D" w:rsidRDefault="00154B7D" w:rsidP="00154B7D">
      <w:pPr>
        <w:jc w:val="left"/>
        <w:rPr>
          <w:rFonts w:ascii="Times New Roman" w:hAnsi="Times New Roman" w:cs="Times New Roman"/>
          <w:sz w:val="22"/>
        </w:rPr>
      </w:pPr>
      <w:r w:rsidRPr="00154B7D">
        <w:rPr>
          <w:rFonts w:ascii="Times New Roman" w:hAnsi="Times New Roman" w:cs="Times New Roman"/>
          <w:b/>
          <w:bCs/>
          <w:sz w:val="22"/>
        </w:rPr>
        <w:t>Intern signature:</w:t>
      </w:r>
      <w:r w:rsidRPr="00154B7D">
        <w:rPr>
          <w:rFonts w:ascii="Times New Roman" w:hAnsi="Times New Roman" w:cs="Times New Roman"/>
          <w:sz w:val="22"/>
        </w:rPr>
        <w:t xml:space="preserve"> </w:t>
      </w:r>
      <w:r w:rsidR="0082784D">
        <w:rPr>
          <w:rFonts w:ascii="Times New Roman" w:hAnsi="Times New Roman" w:cs="Times New Roman" w:hint="eastAsia"/>
          <w:sz w:val="22"/>
        </w:rPr>
        <w:t xml:space="preserve"> Yincheng zhang</w:t>
      </w:r>
      <w:r w:rsidRPr="00154B7D">
        <w:rPr>
          <w:rFonts w:ascii="Times New Roman" w:hAnsi="Times New Roman" w:cs="Times New Roman"/>
          <w:sz w:val="22"/>
        </w:rPr>
        <w:t xml:space="preserve"> </w:t>
      </w:r>
      <w:r w:rsidR="0082784D">
        <w:rPr>
          <w:rFonts w:ascii="Times New Roman" w:hAnsi="Times New Roman" w:cs="Times New Roman" w:hint="eastAsia"/>
          <w:sz w:val="22"/>
        </w:rPr>
        <w:t xml:space="preserve"> </w:t>
      </w:r>
      <w:r w:rsidRPr="00154B7D">
        <w:rPr>
          <w:rFonts w:ascii="Times New Roman" w:hAnsi="Times New Roman" w:cs="Times New Roman"/>
          <w:b/>
          <w:bCs/>
          <w:sz w:val="22"/>
        </w:rPr>
        <w:t>Date:</w:t>
      </w:r>
      <w:r w:rsidRPr="00154B7D">
        <w:rPr>
          <w:rFonts w:ascii="Times New Roman" w:hAnsi="Times New Roman" w:cs="Times New Roman"/>
          <w:sz w:val="22"/>
        </w:rPr>
        <w:t xml:space="preserve"> </w:t>
      </w:r>
      <w:r w:rsidR="0082784D">
        <w:rPr>
          <w:rFonts w:ascii="Times New Roman" w:hAnsi="Times New Roman" w:cs="Times New Roman" w:hint="eastAsia"/>
          <w:sz w:val="22"/>
        </w:rPr>
        <w:t>2026.10.05</w:t>
      </w:r>
      <w:r w:rsidRPr="00154B7D">
        <w:rPr>
          <w:rFonts w:ascii="Times New Roman" w:hAnsi="Times New Roman" w:cs="Times New Roman"/>
          <w:sz w:val="22"/>
        </w:rPr>
        <w:br/>
      </w:r>
      <w:r w:rsidRPr="00154B7D">
        <w:rPr>
          <w:rFonts w:ascii="Times New Roman" w:hAnsi="Times New Roman" w:cs="Times New Roman"/>
          <w:b/>
          <w:bCs/>
          <w:sz w:val="22"/>
        </w:rPr>
        <w:t>Supervisor signature:</w:t>
      </w:r>
      <w:r w:rsidRPr="00154B7D">
        <w:rPr>
          <w:rFonts w:ascii="Times New Roman" w:hAnsi="Times New Roman" w:cs="Times New Roman"/>
          <w:sz w:val="22"/>
        </w:rPr>
        <w:t xml:space="preserve"> ________________ </w:t>
      </w:r>
      <w:r w:rsidRPr="00154B7D">
        <w:rPr>
          <w:rFonts w:ascii="Times New Roman" w:hAnsi="Times New Roman" w:cs="Times New Roman"/>
          <w:b/>
          <w:bCs/>
          <w:sz w:val="22"/>
        </w:rPr>
        <w:t>Date:</w:t>
      </w:r>
      <w:r w:rsidRPr="00154B7D">
        <w:rPr>
          <w:rFonts w:ascii="Times New Roman" w:hAnsi="Times New Roman" w:cs="Times New Roman"/>
          <w:sz w:val="22"/>
        </w:rPr>
        <w:t xml:space="preserve"> __________</w:t>
      </w:r>
    </w:p>
    <w:p w14:paraId="0986E981" w14:textId="77777777" w:rsidR="00154B7D" w:rsidRPr="00154B7D" w:rsidRDefault="00154B7D" w:rsidP="00154B7D">
      <w:pPr>
        <w:rPr>
          <w:rFonts w:ascii="Times New Roman" w:hAnsi="Times New Roman" w:cs="Times New Roman"/>
          <w:sz w:val="22"/>
        </w:rPr>
      </w:pPr>
    </w:p>
    <w:p w14:paraId="08CA3E07" w14:textId="77777777" w:rsidR="00154B7D" w:rsidRPr="00154B7D" w:rsidRDefault="00154B7D" w:rsidP="00154B7D">
      <w:pPr>
        <w:rPr>
          <w:rFonts w:ascii="Times New Roman" w:hAnsi="Times New Roman" w:cs="Times New Roman" w:hint="eastAsia"/>
          <w:sz w:val="22"/>
        </w:rPr>
      </w:pPr>
    </w:p>
    <w:sectPr w:rsidR="00154B7D" w:rsidRPr="00154B7D" w:rsidSect="00576998">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995C6" w14:textId="77777777" w:rsidR="003D0409" w:rsidRDefault="003D0409" w:rsidP="00154B7D">
      <w:r>
        <w:separator/>
      </w:r>
    </w:p>
  </w:endnote>
  <w:endnote w:type="continuationSeparator" w:id="0">
    <w:p w14:paraId="7A17141C" w14:textId="77777777" w:rsidR="003D0409" w:rsidRDefault="003D0409" w:rsidP="00154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20CD" w14:textId="77777777" w:rsidR="003D0409" w:rsidRDefault="003D0409" w:rsidP="00154B7D">
      <w:r>
        <w:separator/>
      </w:r>
    </w:p>
  </w:footnote>
  <w:footnote w:type="continuationSeparator" w:id="0">
    <w:p w14:paraId="1CAF5730" w14:textId="77777777" w:rsidR="003D0409" w:rsidRDefault="003D0409" w:rsidP="00154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40F3D"/>
    <w:multiLevelType w:val="multilevel"/>
    <w:tmpl w:val="9CE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86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120DC"/>
    <w:rsid w:val="00114423"/>
    <w:rsid w:val="00154B7D"/>
    <w:rsid w:val="003D0409"/>
    <w:rsid w:val="00576998"/>
    <w:rsid w:val="0064302F"/>
    <w:rsid w:val="007755A2"/>
    <w:rsid w:val="008120DC"/>
    <w:rsid w:val="0082784D"/>
    <w:rsid w:val="00903C2A"/>
    <w:rsid w:val="00DE0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13317"/>
  <w15:chartTrackingRefBased/>
  <w15:docId w15:val="{18FAF5E3-57DB-4283-9B9D-C4A9FD901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20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20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20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20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20D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20D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20D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20D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20D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20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20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20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20DC"/>
    <w:rPr>
      <w:rFonts w:cstheme="majorBidi"/>
      <w:color w:val="0F4761" w:themeColor="accent1" w:themeShade="BF"/>
      <w:sz w:val="28"/>
      <w:szCs w:val="28"/>
    </w:rPr>
  </w:style>
  <w:style w:type="character" w:customStyle="1" w:styleId="50">
    <w:name w:val="标题 5 字符"/>
    <w:basedOn w:val="a0"/>
    <w:link w:val="5"/>
    <w:uiPriority w:val="9"/>
    <w:semiHidden/>
    <w:rsid w:val="008120DC"/>
    <w:rPr>
      <w:rFonts w:cstheme="majorBidi"/>
      <w:color w:val="0F4761" w:themeColor="accent1" w:themeShade="BF"/>
      <w:sz w:val="24"/>
      <w:szCs w:val="24"/>
    </w:rPr>
  </w:style>
  <w:style w:type="character" w:customStyle="1" w:styleId="60">
    <w:name w:val="标题 6 字符"/>
    <w:basedOn w:val="a0"/>
    <w:link w:val="6"/>
    <w:uiPriority w:val="9"/>
    <w:semiHidden/>
    <w:rsid w:val="008120DC"/>
    <w:rPr>
      <w:rFonts w:cstheme="majorBidi"/>
      <w:b/>
      <w:bCs/>
      <w:color w:val="0F4761" w:themeColor="accent1" w:themeShade="BF"/>
    </w:rPr>
  </w:style>
  <w:style w:type="character" w:customStyle="1" w:styleId="70">
    <w:name w:val="标题 7 字符"/>
    <w:basedOn w:val="a0"/>
    <w:link w:val="7"/>
    <w:uiPriority w:val="9"/>
    <w:semiHidden/>
    <w:rsid w:val="008120DC"/>
    <w:rPr>
      <w:rFonts w:cstheme="majorBidi"/>
      <w:b/>
      <w:bCs/>
      <w:color w:val="595959" w:themeColor="text1" w:themeTint="A6"/>
    </w:rPr>
  </w:style>
  <w:style w:type="character" w:customStyle="1" w:styleId="80">
    <w:name w:val="标题 8 字符"/>
    <w:basedOn w:val="a0"/>
    <w:link w:val="8"/>
    <w:uiPriority w:val="9"/>
    <w:semiHidden/>
    <w:rsid w:val="008120DC"/>
    <w:rPr>
      <w:rFonts w:cstheme="majorBidi"/>
      <w:color w:val="595959" w:themeColor="text1" w:themeTint="A6"/>
    </w:rPr>
  </w:style>
  <w:style w:type="character" w:customStyle="1" w:styleId="90">
    <w:name w:val="标题 9 字符"/>
    <w:basedOn w:val="a0"/>
    <w:link w:val="9"/>
    <w:uiPriority w:val="9"/>
    <w:semiHidden/>
    <w:rsid w:val="008120DC"/>
    <w:rPr>
      <w:rFonts w:eastAsiaTheme="majorEastAsia" w:cstheme="majorBidi"/>
      <w:color w:val="595959" w:themeColor="text1" w:themeTint="A6"/>
    </w:rPr>
  </w:style>
  <w:style w:type="paragraph" w:styleId="a3">
    <w:name w:val="Title"/>
    <w:basedOn w:val="a"/>
    <w:next w:val="a"/>
    <w:link w:val="a4"/>
    <w:uiPriority w:val="10"/>
    <w:qFormat/>
    <w:rsid w:val="008120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20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20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20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20DC"/>
    <w:pPr>
      <w:spacing w:before="160" w:after="160"/>
      <w:jc w:val="center"/>
    </w:pPr>
    <w:rPr>
      <w:i/>
      <w:iCs/>
      <w:color w:val="404040" w:themeColor="text1" w:themeTint="BF"/>
    </w:rPr>
  </w:style>
  <w:style w:type="character" w:customStyle="1" w:styleId="a8">
    <w:name w:val="引用 字符"/>
    <w:basedOn w:val="a0"/>
    <w:link w:val="a7"/>
    <w:uiPriority w:val="29"/>
    <w:rsid w:val="008120DC"/>
    <w:rPr>
      <w:i/>
      <w:iCs/>
      <w:color w:val="404040" w:themeColor="text1" w:themeTint="BF"/>
    </w:rPr>
  </w:style>
  <w:style w:type="paragraph" w:styleId="a9">
    <w:name w:val="List Paragraph"/>
    <w:basedOn w:val="a"/>
    <w:uiPriority w:val="34"/>
    <w:qFormat/>
    <w:rsid w:val="008120DC"/>
    <w:pPr>
      <w:ind w:left="720"/>
      <w:contextualSpacing/>
    </w:pPr>
  </w:style>
  <w:style w:type="character" w:styleId="aa">
    <w:name w:val="Intense Emphasis"/>
    <w:basedOn w:val="a0"/>
    <w:uiPriority w:val="21"/>
    <w:qFormat/>
    <w:rsid w:val="008120DC"/>
    <w:rPr>
      <w:i/>
      <w:iCs/>
      <w:color w:val="0F4761" w:themeColor="accent1" w:themeShade="BF"/>
    </w:rPr>
  </w:style>
  <w:style w:type="paragraph" w:styleId="ab">
    <w:name w:val="Intense Quote"/>
    <w:basedOn w:val="a"/>
    <w:next w:val="a"/>
    <w:link w:val="ac"/>
    <w:uiPriority w:val="30"/>
    <w:qFormat/>
    <w:rsid w:val="00812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20DC"/>
    <w:rPr>
      <w:i/>
      <w:iCs/>
      <w:color w:val="0F4761" w:themeColor="accent1" w:themeShade="BF"/>
    </w:rPr>
  </w:style>
  <w:style w:type="character" w:styleId="ad">
    <w:name w:val="Intense Reference"/>
    <w:basedOn w:val="a0"/>
    <w:uiPriority w:val="32"/>
    <w:qFormat/>
    <w:rsid w:val="008120DC"/>
    <w:rPr>
      <w:b/>
      <w:bCs/>
      <w:smallCaps/>
      <w:color w:val="0F4761" w:themeColor="accent1" w:themeShade="BF"/>
      <w:spacing w:val="5"/>
    </w:rPr>
  </w:style>
  <w:style w:type="paragraph" w:styleId="ae">
    <w:name w:val="header"/>
    <w:basedOn w:val="a"/>
    <w:link w:val="af"/>
    <w:uiPriority w:val="99"/>
    <w:unhideWhenUsed/>
    <w:rsid w:val="00154B7D"/>
    <w:pPr>
      <w:tabs>
        <w:tab w:val="center" w:pos="4153"/>
        <w:tab w:val="right" w:pos="8306"/>
      </w:tabs>
      <w:snapToGrid w:val="0"/>
      <w:jc w:val="center"/>
    </w:pPr>
    <w:rPr>
      <w:sz w:val="18"/>
      <w:szCs w:val="18"/>
    </w:rPr>
  </w:style>
  <w:style w:type="character" w:customStyle="1" w:styleId="af">
    <w:name w:val="页眉 字符"/>
    <w:basedOn w:val="a0"/>
    <w:link w:val="ae"/>
    <w:uiPriority w:val="99"/>
    <w:rsid w:val="00154B7D"/>
    <w:rPr>
      <w:sz w:val="18"/>
      <w:szCs w:val="18"/>
    </w:rPr>
  </w:style>
  <w:style w:type="paragraph" w:styleId="af0">
    <w:name w:val="footer"/>
    <w:basedOn w:val="a"/>
    <w:link w:val="af1"/>
    <w:uiPriority w:val="99"/>
    <w:unhideWhenUsed/>
    <w:rsid w:val="00154B7D"/>
    <w:pPr>
      <w:tabs>
        <w:tab w:val="center" w:pos="4153"/>
        <w:tab w:val="right" w:pos="8306"/>
      </w:tabs>
      <w:snapToGrid w:val="0"/>
      <w:jc w:val="left"/>
    </w:pPr>
    <w:rPr>
      <w:sz w:val="18"/>
      <w:szCs w:val="18"/>
    </w:rPr>
  </w:style>
  <w:style w:type="character" w:customStyle="1" w:styleId="af1">
    <w:name w:val="页脚 字符"/>
    <w:basedOn w:val="a0"/>
    <w:link w:val="af0"/>
    <w:uiPriority w:val="99"/>
    <w:rsid w:val="00154B7D"/>
    <w:rPr>
      <w:sz w:val="18"/>
      <w:szCs w:val="18"/>
    </w:rPr>
  </w:style>
  <w:style w:type="table" w:styleId="af2">
    <w:name w:val="Table Grid"/>
    <w:basedOn w:val="a1"/>
    <w:uiPriority w:val="39"/>
    <w:rsid w:val="00154B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1344</Words>
  <Characters>7959</Characters>
  <Application>Microsoft Office Word</Application>
  <DocSecurity>0</DocSecurity>
  <Lines>128</Lines>
  <Paragraphs>28</Paragraphs>
  <ScaleCrop>false</ScaleCrop>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胤诚 张</dc:creator>
  <cp:keywords/>
  <dc:description/>
  <cp:lastModifiedBy>胤诚 张</cp:lastModifiedBy>
  <cp:revision>2</cp:revision>
  <dcterms:created xsi:type="dcterms:W3CDTF">2026-10-07T13:20:00Z</dcterms:created>
  <dcterms:modified xsi:type="dcterms:W3CDTF">2026-10-07T13:36:00Z</dcterms:modified>
</cp:coreProperties>
</file>