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A8C8" w14:textId="77777777" w:rsidR="00DB5E0F" w:rsidRPr="001A194B" w:rsidRDefault="00BF60BB" w:rsidP="00DB5E0F">
      <w:pPr>
        <w:widowControl/>
        <w:spacing w:before="100" w:beforeAutospacing="1" w:after="100" w:afterAutospacing="1"/>
        <w:jc w:val="left"/>
        <w:outlineLvl w:val="0"/>
        <w:rPr>
          <w:rFonts w:ascii="Times New Roman" w:eastAsia="宋体" w:hAnsi="Times New Roman" w:cs="Times New Roman"/>
          <w:b/>
          <w:bCs/>
          <w:kern w:val="36"/>
          <w:sz w:val="36"/>
          <w:szCs w:val="36"/>
          <w14:ligatures w14:val="none"/>
        </w:rPr>
      </w:pPr>
      <w:r w:rsidRPr="001A194B">
        <w:rPr>
          <w:rFonts w:ascii="Times New Roman" w:eastAsia="宋体" w:hAnsi="Times New Roman" w:cs="Times New Roman"/>
          <w:b/>
          <w:bCs/>
          <w:kern w:val="36"/>
          <w:sz w:val="36"/>
          <w:szCs w:val="36"/>
          <w14:ligatures w14:val="none"/>
        </w:rPr>
        <w:t>Physical AI Market Intelligence Report</w:t>
      </w:r>
    </w:p>
    <w:p w14:paraId="48388F2C" w14:textId="0AED1C8A" w:rsidR="00BF60BB" w:rsidRDefault="00BF60BB" w:rsidP="00E56405">
      <w:pPr>
        <w:widowControl/>
        <w:spacing w:before="100" w:beforeAutospacing="1" w:after="100" w:afterAutospacing="1"/>
        <w:jc w:val="left"/>
        <w:rPr>
          <w:rFonts w:ascii="Times New Roman" w:eastAsia="宋体" w:hAnsi="Times New Roman" w:cs="Times New Roman"/>
          <w:b/>
          <w:bCs/>
          <w:kern w:val="0"/>
          <w:sz w:val="24"/>
          <w:szCs w:val="24"/>
          <w14:ligatures w14:val="none"/>
        </w:rPr>
      </w:pPr>
      <w:proofErr w:type="spellStart"/>
      <w:r w:rsidRPr="00DB5E0F">
        <w:rPr>
          <w:rFonts w:ascii="Times New Roman" w:eastAsia="宋体" w:hAnsi="Times New Roman" w:cs="Times New Roman"/>
          <w:b/>
          <w:bCs/>
          <w:kern w:val="0"/>
          <w:sz w:val="24"/>
          <w:szCs w:val="24"/>
          <w14:ligatures w14:val="none"/>
        </w:rPr>
        <w:t>Yincheng</w:t>
      </w:r>
      <w:proofErr w:type="spellEnd"/>
      <w:r w:rsidRPr="00DB5E0F">
        <w:rPr>
          <w:rFonts w:ascii="Times New Roman" w:eastAsia="宋体" w:hAnsi="Times New Roman" w:cs="Times New Roman"/>
          <w:b/>
          <w:bCs/>
          <w:kern w:val="0"/>
          <w:sz w:val="24"/>
          <w:szCs w:val="24"/>
          <w14:ligatures w14:val="none"/>
        </w:rPr>
        <w:t xml:space="preserve"> Zhang</w:t>
      </w:r>
      <w:r w:rsidRPr="00DB5E0F">
        <w:rPr>
          <w:rFonts w:ascii="Times New Roman" w:eastAsia="宋体" w:hAnsi="Times New Roman" w:cs="Times New Roman"/>
          <w:kern w:val="0"/>
          <w:sz w:val="24"/>
          <w:szCs w:val="24"/>
          <w14:ligatures w14:val="none"/>
        </w:rPr>
        <w:br/>
      </w:r>
      <w:r w:rsidRPr="00DB5E0F">
        <w:rPr>
          <w:rFonts w:ascii="Times New Roman" w:eastAsia="宋体" w:hAnsi="Times New Roman" w:cs="Times New Roman"/>
          <w:b/>
          <w:bCs/>
          <w:kern w:val="0"/>
          <w:sz w:val="24"/>
          <w:szCs w:val="24"/>
          <w14:ligatures w14:val="none"/>
        </w:rPr>
        <w:t>September 16 2026</w:t>
      </w:r>
      <w:r w:rsidRPr="00DB5E0F">
        <w:rPr>
          <w:rFonts w:ascii="Times New Roman" w:eastAsia="宋体" w:hAnsi="Times New Roman" w:cs="Times New Roman"/>
          <w:kern w:val="0"/>
          <w:sz w:val="24"/>
          <w:szCs w:val="24"/>
          <w14:ligatures w14:val="none"/>
        </w:rPr>
        <w:br/>
      </w:r>
      <w:r w:rsidRPr="00DB5E0F">
        <w:rPr>
          <w:rFonts w:ascii="Times New Roman" w:eastAsia="宋体" w:hAnsi="Times New Roman" w:cs="Times New Roman"/>
          <w:b/>
          <w:bCs/>
          <w:kern w:val="0"/>
          <w:sz w:val="24"/>
          <w:szCs w:val="24"/>
          <w14:ligatures w14:val="none"/>
        </w:rPr>
        <w:t>Analysis as of September 15 2026</w:t>
      </w:r>
    </w:p>
    <w:p w14:paraId="3CD96AF8" w14:textId="77777777" w:rsidR="00BF60BB" w:rsidRPr="00DB5E0F"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Executive Summary</w:t>
      </w:r>
    </w:p>
    <w:p w14:paraId="7BE979B7" w14:textId="2831C880"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The global service robotics market is estimated at USD 68.1 billion in 2026, while the broader security </w:t>
      </w:r>
      <w:proofErr w:type="gramStart"/>
      <w:r w:rsidRPr="00DB5E0F">
        <w:rPr>
          <w:rFonts w:ascii="Times New Roman" w:eastAsia="宋体" w:hAnsi="Times New Roman" w:cs="Times New Roman"/>
          <w:kern w:val="0"/>
          <w:sz w:val="22"/>
          <w14:ligatures w14:val="none"/>
        </w:rPr>
        <w:t>robots</w:t>
      </w:r>
      <w:proofErr w:type="gramEnd"/>
      <w:r w:rsidRPr="00DB5E0F">
        <w:rPr>
          <w:rFonts w:ascii="Times New Roman" w:eastAsia="宋体" w:hAnsi="Times New Roman" w:cs="Times New Roman"/>
          <w:kern w:val="0"/>
          <w:sz w:val="22"/>
          <w14:ligatures w14:val="none"/>
        </w:rPr>
        <w:t xml:space="preserve"> market is estimated at USD 25.6 billion. Security robotics is projected to grow faster through 2030, at 14.9 percent annually compared with 12.6 percent for service robotics. These estimates </w:t>
      </w:r>
      <w:r w:rsidR="006B2370">
        <w:rPr>
          <w:rFonts w:ascii="Times New Roman" w:eastAsia="宋体" w:hAnsi="Times New Roman" w:cs="Times New Roman" w:hint="eastAsia"/>
          <w:kern w:val="0"/>
          <w:sz w:val="22"/>
          <w14:ligatures w14:val="none"/>
        </w:rPr>
        <w:t>indicate</w:t>
      </w:r>
      <w:r w:rsidRPr="00DB5E0F">
        <w:rPr>
          <w:rFonts w:ascii="Times New Roman" w:eastAsia="宋体" w:hAnsi="Times New Roman" w:cs="Times New Roman"/>
          <w:kern w:val="0"/>
          <w:sz w:val="22"/>
          <w14:ligatures w14:val="none"/>
        </w:rPr>
        <w:t xml:space="preserve"> a large growth market, but they should not be added together because security robots overlap with service robotics and both categories include segments outside </w:t>
      </w:r>
      <w:proofErr w:type="spellStart"/>
      <w:r w:rsidRPr="00DB5E0F">
        <w:rPr>
          <w:rFonts w:ascii="Times New Roman" w:eastAsia="宋体" w:hAnsi="Times New Roman" w:cs="Times New Roman"/>
          <w:kern w:val="0"/>
          <w:sz w:val="22"/>
          <w14:ligatures w14:val="none"/>
        </w:rPr>
        <w:t>InGen’s</w:t>
      </w:r>
      <w:proofErr w:type="spellEnd"/>
      <w:r w:rsidRPr="00DB5E0F">
        <w:rPr>
          <w:rFonts w:ascii="Times New Roman" w:eastAsia="宋体" w:hAnsi="Times New Roman" w:cs="Times New Roman"/>
          <w:kern w:val="0"/>
          <w:sz w:val="22"/>
          <w14:ligatures w14:val="none"/>
        </w:rPr>
        <w:t xml:space="preserve"> near-term addressable market. [1][2]</w:t>
      </w:r>
    </w:p>
    <w:p w14:paraId="46EF6893"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The competitive comparison identifies five different commercialization models. Knightscope is moving toward an integrated managed-security service. Intuition Robotics sells a proactive eldercare relationship through ElliQ. iRobot demonstrates consumer scale but also the financial risk of hardware concentration. Unitree combines full-stack component development with rapid humanoid commercialization. SoftBank Robotics emphasizes integration, deployment, and operational support across multiple commercial robots. Unitree replaces Sarcos Robotics in this comparison because it provides more current financial and shipment disclosures relevant to </w:t>
      </w:r>
      <w:proofErr w:type="spellStart"/>
      <w:r w:rsidRPr="00DB5E0F">
        <w:rPr>
          <w:rFonts w:ascii="Times New Roman" w:eastAsia="宋体" w:hAnsi="Times New Roman" w:cs="Times New Roman"/>
          <w:kern w:val="0"/>
          <w:sz w:val="22"/>
          <w14:ligatures w14:val="none"/>
        </w:rPr>
        <w:t>InGen’s</w:t>
      </w:r>
      <w:proofErr w:type="spellEnd"/>
      <w:r w:rsidRPr="00DB5E0F">
        <w:rPr>
          <w:rFonts w:ascii="Times New Roman" w:eastAsia="宋体" w:hAnsi="Times New Roman" w:cs="Times New Roman"/>
          <w:kern w:val="0"/>
          <w:sz w:val="22"/>
          <w14:ligatures w14:val="none"/>
        </w:rPr>
        <w:t xml:space="preserve"> humanoid development.</w:t>
      </w:r>
    </w:p>
    <w:p w14:paraId="698BBC6C"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Three market trends have the greatest implications for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First, professional service robot adoption is expanding, while Robot-as-a-Service is growing even faster. Second, customers increasingly expect software, monitoring, maintenance, integration, and human support around the robot. Third, rapid commercialization has not produced consistently strong unit economics, while new regulatory restrictions create additional uncertainty for companies selling connected robots in the United States.</w:t>
      </w:r>
    </w:p>
    <w:p w14:paraId="30C86017"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4"/>
          <w:szCs w:val="24"/>
          <w14:ligatures w14:val="none"/>
        </w:rPr>
      </w:pP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should therefore differentiate through platform-specific outcomes rather than broad physical AI claims. Aido Rover and Sentinel Prime AI should be sold with measurable security and operational KPIs. Fari should be positioned around validated engagement and wellbeing outcomes. PIC 2.0 should serve as the data and orchestration layer connecting these platforms.</w:t>
      </w:r>
    </w:p>
    <w:p w14:paraId="121B1891" w14:textId="77777777" w:rsidR="00BF60BB" w:rsidRPr="00DB5E0F"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2026 Market Size and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342"/>
        <w:gridCol w:w="1448"/>
        <w:gridCol w:w="3950"/>
      </w:tblGrid>
      <w:tr w:rsidR="00BF60BB" w:rsidRPr="00DB5E0F" w14:paraId="384C1DCF" w14:textId="77777777" w:rsidTr="00B65FFE">
        <w:trPr>
          <w:cantSplit/>
          <w:tblHeader/>
          <w:tblCellSpacing w:w="15" w:type="dxa"/>
        </w:trPr>
        <w:tc>
          <w:tcPr>
            <w:tcW w:w="0" w:type="auto"/>
            <w:vAlign w:val="center"/>
            <w:hideMark/>
          </w:tcPr>
          <w:p w14:paraId="348A2DB8" w14:textId="77777777" w:rsidR="00BF60BB" w:rsidRPr="00DB5E0F" w:rsidRDefault="00BF60BB" w:rsidP="00BF60BB">
            <w:pPr>
              <w:widowControl/>
              <w:jc w:val="center"/>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Market measure</w:t>
            </w:r>
          </w:p>
        </w:tc>
        <w:tc>
          <w:tcPr>
            <w:tcW w:w="0" w:type="auto"/>
            <w:vAlign w:val="center"/>
            <w:hideMark/>
          </w:tcPr>
          <w:p w14:paraId="3408CAC7" w14:textId="77777777" w:rsidR="00BF60BB" w:rsidRPr="00DB5E0F" w:rsidRDefault="00BF60BB" w:rsidP="00BF60BB">
            <w:pPr>
              <w:widowControl/>
              <w:jc w:val="right"/>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2026 scale</w:t>
            </w:r>
          </w:p>
        </w:tc>
        <w:tc>
          <w:tcPr>
            <w:tcW w:w="0" w:type="auto"/>
            <w:vAlign w:val="center"/>
            <w:hideMark/>
          </w:tcPr>
          <w:p w14:paraId="50581374" w14:textId="77777777" w:rsidR="00BF60BB" w:rsidRPr="00DB5E0F" w:rsidRDefault="00BF60BB" w:rsidP="00BF60BB">
            <w:pPr>
              <w:widowControl/>
              <w:jc w:val="right"/>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Growth</w:t>
            </w:r>
          </w:p>
        </w:tc>
        <w:tc>
          <w:tcPr>
            <w:tcW w:w="0" w:type="auto"/>
            <w:vAlign w:val="center"/>
            <w:hideMark/>
          </w:tcPr>
          <w:p w14:paraId="5DEF16D7" w14:textId="77777777" w:rsidR="00BF60BB" w:rsidRPr="00DB5E0F" w:rsidRDefault="00BF60BB" w:rsidP="00BF60BB">
            <w:pPr>
              <w:widowControl/>
              <w:jc w:val="center"/>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Relevance and limitation</w:t>
            </w:r>
          </w:p>
        </w:tc>
      </w:tr>
      <w:tr w:rsidR="00BF60BB" w:rsidRPr="00DB5E0F" w14:paraId="71DEE0BC" w14:textId="77777777" w:rsidTr="00B65FFE">
        <w:trPr>
          <w:cantSplit/>
          <w:tblCellSpacing w:w="15" w:type="dxa"/>
        </w:trPr>
        <w:tc>
          <w:tcPr>
            <w:tcW w:w="0" w:type="auto"/>
            <w:vAlign w:val="center"/>
            <w:hideMark/>
          </w:tcPr>
          <w:p w14:paraId="5B2050A9"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Global service robotics market</w:t>
            </w:r>
          </w:p>
        </w:tc>
        <w:tc>
          <w:tcPr>
            <w:tcW w:w="0" w:type="auto"/>
            <w:vAlign w:val="center"/>
            <w:hideMark/>
          </w:tcPr>
          <w:p w14:paraId="01C341A9" w14:textId="77777777" w:rsidR="00BF60BB" w:rsidRPr="00DB5E0F" w:rsidRDefault="00BF60BB" w:rsidP="00BF60BB">
            <w:pPr>
              <w:widowControl/>
              <w:jc w:val="righ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USD 68.1B</w:t>
            </w:r>
          </w:p>
        </w:tc>
        <w:tc>
          <w:tcPr>
            <w:tcW w:w="0" w:type="auto"/>
            <w:vAlign w:val="center"/>
            <w:hideMark/>
          </w:tcPr>
          <w:p w14:paraId="3ABA90D7" w14:textId="77777777" w:rsidR="00BF60BB" w:rsidRPr="00DB5E0F" w:rsidRDefault="00BF60BB" w:rsidP="00BF60BB">
            <w:pPr>
              <w:widowControl/>
              <w:jc w:val="righ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12.6% CAGR from 2024 to 2030</w:t>
            </w:r>
          </w:p>
        </w:tc>
        <w:tc>
          <w:tcPr>
            <w:tcW w:w="0" w:type="auto"/>
            <w:vAlign w:val="center"/>
            <w:hideMark/>
          </w:tcPr>
          <w:p w14:paraId="22535489"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Includes professional and personal service robots. It is a broad upper bound rather than </w:t>
            </w:r>
            <w:proofErr w:type="spellStart"/>
            <w:r w:rsidRPr="00DB5E0F">
              <w:rPr>
                <w:rFonts w:ascii="Times New Roman" w:eastAsia="宋体" w:hAnsi="Times New Roman" w:cs="Times New Roman"/>
                <w:kern w:val="0"/>
                <w:sz w:val="22"/>
                <w14:ligatures w14:val="none"/>
              </w:rPr>
              <w:t>InGen’s</w:t>
            </w:r>
            <w:proofErr w:type="spellEnd"/>
            <w:r w:rsidRPr="00DB5E0F">
              <w:rPr>
                <w:rFonts w:ascii="Times New Roman" w:eastAsia="宋体" w:hAnsi="Times New Roman" w:cs="Times New Roman"/>
                <w:kern w:val="0"/>
                <w:sz w:val="22"/>
                <w14:ligatures w14:val="none"/>
              </w:rPr>
              <w:t xml:space="preserve"> serviceable market. [1]</w:t>
            </w:r>
          </w:p>
        </w:tc>
      </w:tr>
      <w:tr w:rsidR="00BF60BB" w:rsidRPr="00DB5E0F" w14:paraId="46B269C9" w14:textId="77777777" w:rsidTr="00B65FFE">
        <w:trPr>
          <w:cantSplit/>
          <w:tblCellSpacing w:w="15" w:type="dxa"/>
        </w:trPr>
        <w:tc>
          <w:tcPr>
            <w:tcW w:w="0" w:type="auto"/>
            <w:vAlign w:val="center"/>
            <w:hideMark/>
          </w:tcPr>
          <w:p w14:paraId="0E608BC1"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lastRenderedPageBreak/>
              <w:t xml:space="preserve">Global security </w:t>
            </w:r>
            <w:proofErr w:type="gramStart"/>
            <w:r w:rsidRPr="00DB5E0F">
              <w:rPr>
                <w:rFonts w:ascii="Times New Roman" w:eastAsia="宋体" w:hAnsi="Times New Roman" w:cs="Times New Roman"/>
                <w:kern w:val="0"/>
                <w:sz w:val="22"/>
                <w14:ligatures w14:val="none"/>
              </w:rPr>
              <w:t>robots</w:t>
            </w:r>
            <w:proofErr w:type="gramEnd"/>
            <w:r w:rsidRPr="00DB5E0F">
              <w:rPr>
                <w:rFonts w:ascii="Times New Roman" w:eastAsia="宋体" w:hAnsi="Times New Roman" w:cs="Times New Roman"/>
                <w:kern w:val="0"/>
                <w:sz w:val="22"/>
                <w14:ligatures w14:val="none"/>
              </w:rPr>
              <w:t xml:space="preserve"> market</w:t>
            </w:r>
          </w:p>
        </w:tc>
        <w:tc>
          <w:tcPr>
            <w:tcW w:w="0" w:type="auto"/>
            <w:vAlign w:val="center"/>
            <w:hideMark/>
          </w:tcPr>
          <w:p w14:paraId="28DE1D8B" w14:textId="77777777" w:rsidR="00BF60BB" w:rsidRPr="00DB5E0F" w:rsidRDefault="00BF60BB" w:rsidP="00BF60BB">
            <w:pPr>
              <w:widowControl/>
              <w:jc w:val="righ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USD 25.6B</w:t>
            </w:r>
          </w:p>
        </w:tc>
        <w:tc>
          <w:tcPr>
            <w:tcW w:w="0" w:type="auto"/>
            <w:vAlign w:val="center"/>
            <w:hideMark/>
          </w:tcPr>
          <w:p w14:paraId="6C201A56" w14:textId="77777777" w:rsidR="00BF60BB" w:rsidRPr="00DB5E0F" w:rsidRDefault="00BF60BB" w:rsidP="00BF60BB">
            <w:pPr>
              <w:widowControl/>
              <w:jc w:val="righ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14.9% CAGR from 2024 to 2030</w:t>
            </w:r>
          </w:p>
        </w:tc>
        <w:tc>
          <w:tcPr>
            <w:tcW w:w="0" w:type="auto"/>
            <w:vAlign w:val="center"/>
            <w:hideMark/>
          </w:tcPr>
          <w:p w14:paraId="269F41F7"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Includes military, residential, and commercial applications and overlaps with the service robotics category. [2]</w:t>
            </w:r>
          </w:p>
        </w:tc>
      </w:tr>
      <w:tr w:rsidR="00BF60BB" w:rsidRPr="00DB5E0F" w14:paraId="6A5C1B20" w14:textId="77777777" w:rsidTr="00B65FFE">
        <w:trPr>
          <w:cantSplit/>
          <w:tblCellSpacing w:w="15" w:type="dxa"/>
        </w:trPr>
        <w:tc>
          <w:tcPr>
            <w:tcW w:w="0" w:type="auto"/>
            <w:vAlign w:val="center"/>
            <w:hideMark/>
          </w:tcPr>
          <w:p w14:paraId="459121AE"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Professional service robot sales</w:t>
            </w:r>
          </w:p>
        </w:tc>
        <w:tc>
          <w:tcPr>
            <w:tcW w:w="0" w:type="auto"/>
            <w:vAlign w:val="center"/>
            <w:hideMark/>
          </w:tcPr>
          <w:p w14:paraId="6BC5EBFF" w14:textId="77777777" w:rsidR="00BF60BB" w:rsidRPr="00DB5E0F" w:rsidRDefault="00BF60BB" w:rsidP="00BF60BB">
            <w:pPr>
              <w:widowControl/>
              <w:jc w:val="righ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Almost 200,000 units in 2024</w:t>
            </w:r>
          </w:p>
        </w:tc>
        <w:tc>
          <w:tcPr>
            <w:tcW w:w="0" w:type="auto"/>
            <w:vAlign w:val="center"/>
            <w:hideMark/>
          </w:tcPr>
          <w:p w14:paraId="22FB8309" w14:textId="77777777" w:rsidR="00BF60BB" w:rsidRPr="00DB5E0F" w:rsidRDefault="00BF60BB" w:rsidP="00BF60BB">
            <w:pPr>
              <w:widowControl/>
              <w:jc w:val="righ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9% year-over-year growth</w:t>
            </w:r>
          </w:p>
        </w:tc>
        <w:tc>
          <w:tcPr>
            <w:tcW w:w="0" w:type="auto"/>
            <w:vAlign w:val="center"/>
            <w:hideMark/>
          </w:tcPr>
          <w:p w14:paraId="25DEAB3D"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IFR supplier sample rather than a projection of the full industry. The RaaS fleet grew 31 percent. [3]</w:t>
            </w:r>
          </w:p>
        </w:tc>
      </w:tr>
    </w:tbl>
    <w:p w14:paraId="6A897DE7"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Grand View Research estimates that the service robotics market will increase from USD 68.1 billion in 2026 to USD 107.8 billion in 2030. Professional applications represented 71.2 percent of service robotics revenue in its 2023 base year. This is relevant to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because Aido Rover, Sentinel Prime AI, Fari, and Senpai are designed primarily for organizational or professional deployment rather than mass-market household ownership. [1]</w:t>
      </w:r>
    </w:p>
    <w:p w14:paraId="37AFFA9C"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The security </w:t>
      </w:r>
      <w:proofErr w:type="gramStart"/>
      <w:r w:rsidRPr="00DB5E0F">
        <w:rPr>
          <w:rFonts w:ascii="Times New Roman" w:eastAsia="宋体" w:hAnsi="Times New Roman" w:cs="Times New Roman"/>
          <w:kern w:val="0"/>
          <w:sz w:val="22"/>
          <w14:ligatures w14:val="none"/>
        </w:rPr>
        <w:t>robots</w:t>
      </w:r>
      <w:proofErr w:type="gramEnd"/>
      <w:r w:rsidRPr="00DB5E0F">
        <w:rPr>
          <w:rFonts w:ascii="Times New Roman" w:eastAsia="宋体" w:hAnsi="Times New Roman" w:cs="Times New Roman"/>
          <w:kern w:val="0"/>
          <w:sz w:val="22"/>
          <w14:ligatures w14:val="none"/>
        </w:rPr>
        <w:t xml:space="preserve"> market is expected to increase from USD 25.6 billion in 2026 to USD 44.3 billion by 2030. However, this estimate includes military and defense robots in addition to residential and commercial security products. It therefore overstates the market directly addressable by Aido Rover and Sentinel Prime AI. [2]</w:t>
      </w:r>
    </w:p>
    <w:p w14:paraId="752DF787"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A more defensible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market estimate should eventually use a bottom-up method based on the number of target customers, units required per location, expected annual contract value, and realistic adoption rates. The available headline market figures are appropriate for market direction and growth comparisons, but not for calculating a precise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valuation.</w:t>
      </w:r>
    </w:p>
    <w:p w14:paraId="7F7DF378" w14:textId="77777777" w:rsidR="00BF60BB" w:rsidRPr="00DB5E0F"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Competitive Company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984"/>
        <w:gridCol w:w="2574"/>
        <w:gridCol w:w="2458"/>
      </w:tblGrid>
      <w:tr w:rsidR="00BF60BB" w:rsidRPr="00DB5E0F" w14:paraId="5D6D4479" w14:textId="77777777" w:rsidTr="00B65FFE">
        <w:trPr>
          <w:cantSplit/>
          <w:tblHeader/>
          <w:tblCellSpacing w:w="15" w:type="dxa"/>
        </w:trPr>
        <w:tc>
          <w:tcPr>
            <w:tcW w:w="0" w:type="auto"/>
            <w:vAlign w:val="center"/>
            <w:hideMark/>
          </w:tcPr>
          <w:p w14:paraId="1DF2457F" w14:textId="77777777" w:rsidR="00BF60BB" w:rsidRPr="00DB5E0F" w:rsidRDefault="00BF60BB" w:rsidP="00BF60BB">
            <w:pPr>
              <w:widowControl/>
              <w:jc w:val="center"/>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Company</w:t>
            </w:r>
          </w:p>
        </w:tc>
        <w:tc>
          <w:tcPr>
            <w:tcW w:w="0" w:type="auto"/>
            <w:vAlign w:val="center"/>
            <w:hideMark/>
          </w:tcPr>
          <w:p w14:paraId="7260D933" w14:textId="77777777" w:rsidR="00BF60BB" w:rsidRPr="00DB5E0F" w:rsidRDefault="00BF60BB" w:rsidP="00BF60BB">
            <w:pPr>
              <w:widowControl/>
              <w:jc w:val="center"/>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Segment and primary product</w:t>
            </w:r>
          </w:p>
        </w:tc>
        <w:tc>
          <w:tcPr>
            <w:tcW w:w="0" w:type="auto"/>
            <w:vAlign w:val="center"/>
            <w:hideMark/>
          </w:tcPr>
          <w:p w14:paraId="08795EFC" w14:textId="77777777" w:rsidR="00BF60BB" w:rsidRPr="00DB5E0F" w:rsidRDefault="00BF60BB" w:rsidP="00BF60BB">
            <w:pPr>
              <w:widowControl/>
              <w:jc w:val="center"/>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Financial or funding stage and operating scale</w:t>
            </w:r>
          </w:p>
        </w:tc>
        <w:tc>
          <w:tcPr>
            <w:tcW w:w="0" w:type="auto"/>
            <w:vAlign w:val="center"/>
            <w:hideMark/>
          </w:tcPr>
          <w:p w14:paraId="333D9AED" w14:textId="77777777" w:rsidR="00BF60BB" w:rsidRPr="00DB5E0F" w:rsidRDefault="00BF60BB" w:rsidP="00BF60BB">
            <w:pPr>
              <w:widowControl/>
              <w:jc w:val="center"/>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Technology differentiation</w:t>
            </w:r>
          </w:p>
        </w:tc>
      </w:tr>
      <w:tr w:rsidR="00BF60BB" w:rsidRPr="00DB5E0F" w14:paraId="22453982" w14:textId="77777777" w:rsidTr="00B65FFE">
        <w:trPr>
          <w:cantSplit/>
          <w:tblCellSpacing w:w="15" w:type="dxa"/>
        </w:trPr>
        <w:tc>
          <w:tcPr>
            <w:tcW w:w="0" w:type="auto"/>
            <w:vAlign w:val="center"/>
            <w:hideMark/>
          </w:tcPr>
          <w:p w14:paraId="43E8AFA5"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b/>
                <w:bCs/>
                <w:kern w:val="0"/>
                <w:sz w:val="22"/>
                <w14:ligatures w14:val="none"/>
              </w:rPr>
              <w:t>Knightscope 2013</w:t>
            </w:r>
          </w:p>
        </w:tc>
        <w:tc>
          <w:tcPr>
            <w:tcW w:w="0" w:type="auto"/>
            <w:vAlign w:val="center"/>
            <w:hideMark/>
          </w:tcPr>
          <w:p w14:paraId="50A7370A"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Autonomous security robots, emergency communication devices, and managed security services</w:t>
            </w:r>
          </w:p>
        </w:tc>
        <w:tc>
          <w:tcPr>
            <w:tcW w:w="0" w:type="auto"/>
            <w:vAlign w:val="center"/>
            <w:hideMark/>
          </w:tcPr>
          <w:p w14:paraId="39F75C44"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Public company. FY2025 revenue was USD 11.3M with a negative 42.1% gross margin. Q2 2026 revenue reached USD 9.0M with a 7.4% gross margin. [4][5]</w:t>
            </w:r>
          </w:p>
        </w:tc>
        <w:tc>
          <w:tcPr>
            <w:tcW w:w="0" w:type="auto"/>
            <w:vAlign w:val="center"/>
            <w:hideMark/>
          </w:tcPr>
          <w:p w14:paraId="619B6A2D"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An Autonomous Security Force combining robots, AI software, monitoring, emergency communication systems, and licensed security personnel</w:t>
            </w:r>
          </w:p>
        </w:tc>
      </w:tr>
      <w:tr w:rsidR="00BF60BB" w:rsidRPr="00DB5E0F" w14:paraId="0A29B257" w14:textId="77777777" w:rsidTr="00B65FFE">
        <w:trPr>
          <w:cantSplit/>
          <w:tblCellSpacing w:w="15" w:type="dxa"/>
        </w:trPr>
        <w:tc>
          <w:tcPr>
            <w:tcW w:w="0" w:type="auto"/>
            <w:vAlign w:val="center"/>
            <w:hideMark/>
          </w:tcPr>
          <w:p w14:paraId="54BBFF0D"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b/>
                <w:bCs/>
                <w:kern w:val="0"/>
                <w:sz w:val="22"/>
                <w14:ligatures w14:val="none"/>
              </w:rPr>
              <w:t>Intuition Robotics 2016</w:t>
            </w:r>
          </w:p>
        </w:tc>
        <w:tc>
          <w:tcPr>
            <w:tcW w:w="0" w:type="auto"/>
            <w:vAlign w:val="center"/>
            <w:hideMark/>
          </w:tcPr>
          <w:p w14:paraId="4B3472DC"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Eldercare AI companion ElliQ</w:t>
            </w:r>
          </w:p>
        </w:tc>
        <w:tc>
          <w:tcPr>
            <w:tcW w:w="0" w:type="auto"/>
            <w:vAlign w:val="center"/>
            <w:hideMark/>
          </w:tcPr>
          <w:p w14:paraId="3627334C"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Private company with USD 85M in total equity funding. Thousands of U.S. older adults use ElliQ, although an exact deployment count is not disclosed. [6]</w:t>
            </w:r>
          </w:p>
        </w:tc>
        <w:tc>
          <w:tcPr>
            <w:tcW w:w="0" w:type="auto"/>
            <w:vAlign w:val="center"/>
            <w:hideMark/>
          </w:tcPr>
          <w:p w14:paraId="18E7A821"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Relationship Orchestrator integrating multiple language models, contextual memory, emotional-state estimation, multimodal interaction, and proactive engagement</w:t>
            </w:r>
          </w:p>
        </w:tc>
      </w:tr>
      <w:tr w:rsidR="00BF60BB" w:rsidRPr="00DB5E0F" w14:paraId="3DBAC106" w14:textId="77777777" w:rsidTr="00B65FFE">
        <w:trPr>
          <w:cantSplit/>
          <w:tblCellSpacing w:w="15" w:type="dxa"/>
        </w:trPr>
        <w:tc>
          <w:tcPr>
            <w:tcW w:w="0" w:type="auto"/>
            <w:vAlign w:val="center"/>
            <w:hideMark/>
          </w:tcPr>
          <w:p w14:paraId="7CAB577E"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b/>
                <w:bCs/>
                <w:kern w:val="0"/>
                <w:sz w:val="22"/>
                <w14:ligatures w14:val="none"/>
              </w:rPr>
              <w:lastRenderedPageBreak/>
              <w:t>iRobot 1990</w:t>
            </w:r>
          </w:p>
        </w:tc>
        <w:tc>
          <w:tcPr>
            <w:tcW w:w="0" w:type="auto"/>
            <w:vAlign w:val="center"/>
            <w:hideMark/>
          </w:tcPr>
          <w:p w14:paraId="54487D33"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Consumer floor-care robots including Roomba</w:t>
            </w:r>
          </w:p>
        </w:tc>
        <w:tc>
          <w:tcPr>
            <w:tcW w:w="0" w:type="auto"/>
            <w:vAlign w:val="center"/>
            <w:hideMark/>
          </w:tcPr>
          <w:p w14:paraId="7BF7F440"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FY2024 revenue was USD 681.8M, GAAP gross margin was 20.9%, and 2.463M units were shipped. The company became privately held after a January 2026 court-supervised transaction. [7][8]</w:t>
            </w:r>
          </w:p>
        </w:tc>
        <w:tc>
          <w:tcPr>
            <w:tcW w:w="0" w:type="auto"/>
            <w:vAlign w:val="center"/>
            <w:hideMark/>
          </w:tcPr>
          <w:p w14:paraId="72623C93"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Autonomous household cleaning based on mapping, navigation, object recognition, and an established consumer brand</w:t>
            </w:r>
          </w:p>
        </w:tc>
      </w:tr>
      <w:tr w:rsidR="00BF60BB" w:rsidRPr="00DB5E0F" w14:paraId="48A1B612" w14:textId="77777777" w:rsidTr="00B65FFE">
        <w:trPr>
          <w:cantSplit/>
          <w:tblCellSpacing w:w="15" w:type="dxa"/>
        </w:trPr>
        <w:tc>
          <w:tcPr>
            <w:tcW w:w="0" w:type="auto"/>
            <w:vAlign w:val="center"/>
            <w:hideMark/>
          </w:tcPr>
          <w:p w14:paraId="408BD321"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b/>
                <w:bCs/>
                <w:kern w:val="0"/>
                <w:sz w:val="22"/>
                <w14:ligatures w14:val="none"/>
              </w:rPr>
              <w:t>Unitree Robotics 2016</w:t>
            </w:r>
          </w:p>
        </w:tc>
        <w:tc>
          <w:tcPr>
            <w:tcW w:w="0" w:type="auto"/>
            <w:vAlign w:val="center"/>
            <w:hideMark/>
          </w:tcPr>
          <w:p w14:paraId="4F2F6B8F"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Humanoid and quadruped robots including G1</w:t>
            </w:r>
          </w:p>
        </w:tc>
        <w:tc>
          <w:tcPr>
            <w:tcW w:w="0" w:type="auto"/>
            <w:vAlign w:val="center"/>
            <w:hideMark/>
          </w:tcPr>
          <w:p w14:paraId="693E2D3B"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FY2025 revenue was RMB 1.699B, approximately USD 250M. Core-business gross margin was 60.13%, and more than 5,500 humanoids were delivered in 2025. [9][10]</w:t>
            </w:r>
          </w:p>
        </w:tc>
        <w:tc>
          <w:tcPr>
            <w:tcW w:w="0" w:type="auto"/>
            <w:vAlign w:val="center"/>
            <w:hideMark/>
          </w:tcPr>
          <w:p w14:paraId="115A19F0"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Full-stack development of motors, reducers, controllers, sensing, motion control, and LiDAR</w:t>
            </w:r>
          </w:p>
        </w:tc>
      </w:tr>
      <w:tr w:rsidR="00BF60BB" w:rsidRPr="00DB5E0F" w14:paraId="0E8F1321" w14:textId="77777777" w:rsidTr="00B65FFE">
        <w:trPr>
          <w:cantSplit/>
          <w:tblCellSpacing w:w="15" w:type="dxa"/>
        </w:trPr>
        <w:tc>
          <w:tcPr>
            <w:tcW w:w="0" w:type="auto"/>
            <w:vAlign w:val="center"/>
            <w:hideMark/>
          </w:tcPr>
          <w:p w14:paraId="7ED2BEFB"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b/>
                <w:bCs/>
                <w:kern w:val="0"/>
                <w:sz w:val="22"/>
                <w14:ligatures w14:val="none"/>
              </w:rPr>
              <w:t>SoftBank Robotics Group 2012</w:t>
            </w:r>
          </w:p>
        </w:tc>
        <w:tc>
          <w:tcPr>
            <w:tcW w:w="0" w:type="auto"/>
            <w:vAlign w:val="center"/>
            <w:hideMark/>
          </w:tcPr>
          <w:p w14:paraId="75F59958"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Commercial service robotics and integration, including Whiz and Pepper</w:t>
            </w:r>
          </w:p>
        </w:tc>
        <w:tc>
          <w:tcPr>
            <w:tcW w:w="0" w:type="auto"/>
            <w:vAlign w:val="center"/>
            <w:hideMark/>
          </w:tcPr>
          <w:p w14:paraId="6A08B00A"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SoftBank Group subsidiary. Standalone revenue and gross margin are not disclosed. More than 40,000 Whiz units were reported shipped globally by March 2026. [11]</w:t>
            </w:r>
          </w:p>
        </w:tc>
        <w:tc>
          <w:tcPr>
            <w:tcW w:w="0" w:type="auto"/>
            <w:vAlign w:val="center"/>
            <w:hideMark/>
          </w:tcPr>
          <w:p w14:paraId="6A565F33" w14:textId="77777777" w:rsidR="00BF60BB" w:rsidRPr="00DB5E0F" w:rsidRDefault="00BF60BB" w:rsidP="00BF60BB">
            <w:pPr>
              <w:widowControl/>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Robot-integration model combining robotics and AI with deployment, operations, maintenance, and customer support</w:t>
            </w:r>
          </w:p>
        </w:tc>
      </w:tr>
    </w:tbl>
    <w:p w14:paraId="21DD862C"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Knightscope is the closest public comparable for Aido Rover and Sentinel Prime AI. However, its recent revenue growth is no longer a pure robotics signal. Security Force generated USD 6.83 million of Knightscope’s USD 9.02 million Q2 2026 revenue, while autonomous security robot revenue was approximately USD 0.92 million. Its acquisition improved consolidated quarterly revenue and gross margin, but it also changed the company’s business mix. [5]</w:t>
      </w:r>
    </w:p>
    <w:p w14:paraId="4A710DC4"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should therefore benchmark robot-level performance separately from human-service or integration revenue. Relevant metrics include annual recurring revenue per deployed robot, direct service cost per robot, uptime, customer retention, maintenance frequency, and contribution margin per deployment.</w:t>
      </w:r>
    </w:p>
    <w:p w14:paraId="6E29F27D"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Intuition Robotics is the closest comparable for Fari. ElliQ’s competitive claim is based on proactive engagement, memory, and reported user outcomes rather than on general-purpose robotic capability. This suggests that Fari’s positioning should focus on measurable eldercare outcomes, caregiver visibility, user engagement, and trust.</w:t>
      </w:r>
    </w:p>
    <w:p w14:paraId="5A48A0E4"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Unitree is the strongest scale comparison for Aido Humanoid. Its component ownership and manufacturing volume may create advantages in cost, product iteration, and supply-chain control. However, its geographic position also creates a different U.S. regulatory risk profile from that of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w:t>
      </w:r>
    </w:p>
    <w:p w14:paraId="2F5131DB"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lastRenderedPageBreak/>
        <w:t xml:space="preserve">SoftBank Robotics illustrates another possible competitive model. It treats robot selection, integration, deployment, and ongoing operations as part of the customer product. This model is relevant to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because PIC 2.0 could provide a common intelligence and data layer across several physical AI platforms.</w:t>
      </w:r>
    </w:p>
    <w:p w14:paraId="58F26F08" w14:textId="77777777" w:rsidR="00BF60BB" w:rsidRPr="00DB5E0F"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Key Market Trends</w:t>
      </w:r>
    </w:p>
    <w:p w14:paraId="679A62E4" w14:textId="77777777" w:rsidR="00BF60BB" w:rsidRPr="00DB5E0F" w:rsidRDefault="00BF60BB" w:rsidP="00BF60BB">
      <w:pPr>
        <w:widowControl/>
        <w:spacing w:before="100" w:beforeAutospacing="1" w:after="100" w:afterAutospacing="1"/>
        <w:jc w:val="left"/>
        <w:outlineLvl w:val="2"/>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Subscription Models Are Reducing Adoption Friction</w:t>
      </w:r>
    </w:p>
    <w:p w14:paraId="28D0AEA1"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IFR reported that professional service robot sales reached almost 200,000 units in 2024, representing 9 percent growth. During the same period, the Robot-as-a-Service fleet grew 31 percent. The faster growth of RaaS indicates that customers increasingly prefer recurring payments, maintenance coverage, and lower upfront capital requirements. [3]</w:t>
      </w:r>
    </w:p>
    <w:p w14:paraId="68C81C3F"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Knightscope’s Machine-as-a-Service contracts and SoftBank’s integration model reinforce this direction. Customers are not purchasing only a robot. They are purchasing availability, maintenance, monitoring, software access, and a defined operational result.</w:t>
      </w:r>
    </w:p>
    <w:p w14:paraId="5FF07AD8"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For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Aido Rover and Sentinel Prime AI should be offered through clear subscription tiers that include software, monitoring, maintenance, and service-level commitments. The sales case should quantify labor hours augmented, patrol coverage, incident-response improvement, uptime, and total cost per protected site.</w:t>
      </w:r>
    </w:p>
    <w:p w14:paraId="27A5A822" w14:textId="77777777" w:rsidR="00BF60BB" w:rsidRPr="00DB5E0F" w:rsidRDefault="00BF60BB" w:rsidP="00BF60BB">
      <w:pPr>
        <w:widowControl/>
        <w:spacing w:before="100" w:beforeAutospacing="1" w:after="100" w:afterAutospacing="1"/>
        <w:jc w:val="left"/>
        <w:outlineLvl w:val="2"/>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Integrated Outcomes Matter More Than Standalone Hardware</w:t>
      </w:r>
    </w:p>
    <w:p w14:paraId="192FD6E7"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Competitors increasingly differentiate through the operating system and services surrounding the robot. Knightscope combines autonomous machines, software, monitoring, and licensed security personnel. Intuition Robotics emphasizes relationship management and engagement outcomes. SoftBank describes itself as a robot integrator. Unitree controls key components, motion control, and sensing.</w:t>
      </w:r>
    </w:p>
    <w:p w14:paraId="5B541862"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This pattern suggests that hardware specifications are becoming easier for customers to compare and harder for companies to defend as a long-term advantage.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should present PIC 2.0 through platform-specific business results.</w:t>
      </w:r>
    </w:p>
    <w:p w14:paraId="443857D8"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For Fari, the relevant results include interaction frequency, session duration, wellbeing indicators, response time, and caregiver visibility. For Aido Rover and Sentinel Prime AI, they include patrol coverage, false-alarm rate, incident-detection rate, uptime, response time, and energy consumption. Every commercial claim should map to a measurable KPI and a named deployment workflow.</w:t>
      </w:r>
    </w:p>
    <w:p w14:paraId="408ED70E" w14:textId="77777777" w:rsidR="00BF60BB" w:rsidRPr="00DB5E0F" w:rsidRDefault="00BF60BB" w:rsidP="00BF60BB">
      <w:pPr>
        <w:widowControl/>
        <w:spacing w:before="100" w:beforeAutospacing="1" w:after="100" w:afterAutospacing="1"/>
        <w:jc w:val="left"/>
        <w:outlineLvl w:val="2"/>
        <w:rPr>
          <w:rFonts w:ascii="Times New Roman" w:eastAsia="宋体" w:hAnsi="Times New Roman" w:cs="Times New Roman"/>
          <w:b/>
          <w:bCs/>
          <w:kern w:val="0"/>
          <w:sz w:val="22"/>
          <w14:ligatures w14:val="none"/>
        </w:rPr>
      </w:pPr>
      <w:r w:rsidRPr="00DB5E0F">
        <w:rPr>
          <w:rFonts w:ascii="Times New Roman" w:eastAsia="宋体" w:hAnsi="Times New Roman" w:cs="Times New Roman"/>
          <w:b/>
          <w:bCs/>
          <w:kern w:val="0"/>
          <w:sz w:val="22"/>
          <w14:ligatures w14:val="none"/>
        </w:rPr>
        <w:t>Commercialization Is Accelerating While Economics Remain Uneven</w:t>
      </w:r>
    </w:p>
    <w:p w14:paraId="42DD08E8"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Unitree reported more than 5,500 humanoids delivered in 2025 and a 60.13 percent gross margin for its core businesses. Knightscope reported a negative 42.1 percent gross margin in </w:t>
      </w:r>
      <w:r w:rsidRPr="00DB5E0F">
        <w:rPr>
          <w:rFonts w:ascii="Times New Roman" w:eastAsia="宋体" w:hAnsi="Times New Roman" w:cs="Times New Roman"/>
          <w:kern w:val="0"/>
          <w:sz w:val="22"/>
          <w14:ligatures w14:val="none"/>
        </w:rPr>
        <w:lastRenderedPageBreak/>
        <w:t>FY2025 before turning positive at 7.4 percent in Q2 2026. iRobot entered a court-supervised restructuring despite shipping millions of consumer robots. [4][5][7][8][9][10]</w:t>
      </w:r>
    </w:p>
    <w:p w14:paraId="34AB776F"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These figures are not directly comparable because the companies operate in different markets and use different business models and accounting standards. Nevertheless, they show that shipment growth does not automatically produce sustainable unit economics.</w:t>
      </w:r>
    </w:p>
    <w:p w14:paraId="3111BE48"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Regulation is also becoming a market variable. In July 2026, the U.S. Federal Communications Commission added certain foreign-produced advanced robotic devices to its Covered List. The restrictions affect authorization, importation, marketing, and sale and may apply to mobile robots, humanoids, quadrupeds, and some consumer robots. [12]</w:t>
      </w:r>
    </w:p>
    <w:p w14:paraId="10BDABA6"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can turn transparent sourcing, cybersecurity, data governance, and regulatory compliance into a commercial advantage for U.S. enterprise and government buyers.</w:t>
      </w:r>
    </w:p>
    <w:p w14:paraId="576EAA76" w14:textId="77777777" w:rsidR="00BF60BB"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Recommended Actions</w:t>
      </w:r>
    </w:p>
    <w:p w14:paraId="781B7166" w14:textId="0F810B2C" w:rsidR="00B65FFE" w:rsidRPr="00B65FFE" w:rsidRDefault="00B65FFE" w:rsidP="00B65FFE">
      <w:pPr>
        <w:widowControl/>
        <w:spacing w:before="100" w:beforeAutospacing="1" w:after="100" w:afterAutospacing="1"/>
        <w:jc w:val="left"/>
        <w:rPr>
          <w:rFonts w:ascii="Times New Roman" w:eastAsia="宋体" w:hAnsi="Times New Roman" w:cs="Times New Roman"/>
          <w:kern w:val="0"/>
          <w:sz w:val="22"/>
          <w14:ligatures w14:val="none"/>
        </w:rPr>
      </w:pPr>
      <w:proofErr w:type="spellStart"/>
      <w:r w:rsidRPr="00B65FFE">
        <w:rPr>
          <w:rFonts w:ascii="Times New Roman" w:eastAsia="宋体" w:hAnsi="Times New Roman" w:cs="Times New Roman"/>
          <w:kern w:val="0"/>
          <w:sz w:val="22"/>
          <w14:ligatures w14:val="none"/>
        </w:rPr>
        <w:t>InGen</w:t>
      </w:r>
      <w:proofErr w:type="spellEnd"/>
      <w:r w:rsidRPr="00B65FFE">
        <w:rPr>
          <w:rFonts w:ascii="Times New Roman" w:eastAsia="宋体" w:hAnsi="Times New Roman" w:cs="Times New Roman"/>
          <w:kern w:val="0"/>
          <w:sz w:val="22"/>
          <w14:ligatures w14:val="none"/>
        </w:rPr>
        <w:t xml:space="preserve"> should focus on recurring, outcome-based commercialization. Aido Rover and Sentinel Prime AI should be evaluated through measurable deployment KPIs such as uptime, patrol coverage, incident detection, response time, and cost per protected site. Fari should be validated through engagement and wellbeing outcomes. In parallel, </w:t>
      </w:r>
      <w:proofErr w:type="spellStart"/>
      <w:r w:rsidRPr="00B65FFE">
        <w:rPr>
          <w:rFonts w:ascii="Times New Roman" w:eastAsia="宋体" w:hAnsi="Times New Roman" w:cs="Times New Roman"/>
          <w:kern w:val="0"/>
          <w:sz w:val="22"/>
          <w14:ligatures w14:val="none"/>
        </w:rPr>
        <w:t>InGen</w:t>
      </w:r>
      <w:proofErr w:type="spellEnd"/>
      <w:r w:rsidRPr="00B65FFE">
        <w:rPr>
          <w:rFonts w:ascii="Times New Roman" w:eastAsia="宋体" w:hAnsi="Times New Roman" w:cs="Times New Roman"/>
          <w:kern w:val="0"/>
          <w:sz w:val="22"/>
          <w14:ligatures w14:val="none"/>
        </w:rPr>
        <w:t xml:space="preserve"> should track robot-level unit economics separately from service or integration revenue and maintain clear documentation of sourcing, cybersecurity, data governance, and regulatory compliance.</w:t>
      </w:r>
    </w:p>
    <w:p w14:paraId="01BB558D" w14:textId="77777777" w:rsidR="00BF60BB" w:rsidRPr="00DB5E0F"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Analytical Limitations</w:t>
      </w:r>
    </w:p>
    <w:p w14:paraId="1E6D897C" w14:textId="0641C661" w:rsidR="00B65FFE" w:rsidRDefault="00B65FFE" w:rsidP="00B65FFE">
      <w:pPr>
        <w:widowControl/>
        <w:spacing w:before="100" w:beforeAutospacing="1" w:after="100" w:afterAutospacing="1"/>
        <w:jc w:val="left"/>
        <w:rPr>
          <w:rFonts w:ascii="Times New Roman" w:eastAsia="宋体" w:hAnsi="Times New Roman" w:cs="Times New Roman"/>
          <w:kern w:val="0"/>
          <w:sz w:val="22"/>
          <w14:ligatures w14:val="none"/>
        </w:rPr>
      </w:pPr>
      <w:r w:rsidRPr="00B65FFE">
        <w:rPr>
          <w:rFonts w:ascii="Times New Roman" w:eastAsia="宋体" w:hAnsi="Times New Roman" w:cs="Times New Roman"/>
          <w:kern w:val="0"/>
          <w:sz w:val="22"/>
          <w14:ligatures w14:val="none"/>
        </w:rPr>
        <w:t xml:space="preserve">The market estimates used in this report are directional rather than precise measures of </w:t>
      </w:r>
      <w:proofErr w:type="spellStart"/>
      <w:r w:rsidRPr="00B65FFE">
        <w:rPr>
          <w:rFonts w:ascii="Times New Roman" w:eastAsia="宋体" w:hAnsi="Times New Roman" w:cs="Times New Roman"/>
          <w:kern w:val="0"/>
          <w:sz w:val="22"/>
          <w14:ligatures w14:val="none"/>
        </w:rPr>
        <w:t>InGen’s</w:t>
      </w:r>
      <w:proofErr w:type="spellEnd"/>
      <w:r w:rsidRPr="00B65FFE">
        <w:rPr>
          <w:rFonts w:ascii="Times New Roman" w:eastAsia="宋体" w:hAnsi="Times New Roman" w:cs="Times New Roman"/>
          <w:kern w:val="0"/>
          <w:sz w:val="22"/>
          <w14:ligatures w14:val="none"/>
        </w:rPr>
        <w:t xml:space="preserve"> addressable market. Service robotics and security robotics overlap and include segments outside </w:t>
      </w:r>
      <w:proofErr w:type="spellStart"/>
      <w:r w:rsidRPr="00B65FFE">
        <w:rPr>
          <w:rFonts w:ascii="Times New Roman" w:eastAsia="宋体" w:hAnsi="Times New Roman" w:cs="Times New Roman"/>
          <w:kern w:val="0"/>
          <w:sz w:val="22"/>
          <w14:ligatures w14:val="none"/>
        </w:rPr>
        <w:t>InGen’s</w:t>
      </w:r>
      <w:proofErr w:type="spellEnd"/>
      <w:r w:rsidRPr="00B65FFE">
        <w:rPr>
          <w:rFonts w:ascii="Times New Roman" w:eastAsia="宋体" w:hAnsi="Times New Roman" w:cs="Times New Roman"/>
          <w:kern w:val="0"/>
          <w:sz w:val="22"/>
          <w14:ligatures w14:val="none"/>
        </w:rPr>
        <w:t xml:space="preserve"> target customers, while Grand View Research provides only headline figures publicly and IFR statistics are based on supplier samples. Company-level comparisons are also limited by uneven disclosure, different business models, geographic markets, accounting standards, and stages of commercialization. Where standalone financial data were not publicly available, values were reported as N/A rather than estimated.</w:t>
      </w:r>
    </w:p>
    <w:p w14:paraId="5B747176" w14:textId="54B77E1A" w:rsidR="00BF60BB" w:rsidRPr="00DB5E0F"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DB5E0F">
        <w:rPr>
          <w:rFonts w:ascii="Times New Roman" w:eastAsia="宋体" w:hAnsi="Times New Roman" w:cs="Times New Roman"/>
          <w:b/>
          <w:bCs/>
          <w:kern w:val="0"/>
          <w:sz w:val="24"/>
          <w:szCs w:val="24"/>
          <w14:ligatures w14:val="none"/>
        </w:rPr>
        <w:t>Conclusion</w:t>
      </w:r>
    </w:p>
    <w:p w14:paraId="1D31A97D"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The market evidence supports continued investment in </w:t>
      </w:r>
      <w:proofErr w:type="spellStart"/>
      <w:r w:rsidRPr="00DB5E0F">
        <w:rPr>
          <w:rFonts w:ascii="Times New Roman" w:eastAsia="宋体" w:hAnsi="Times New Roman" w:cs="Times New Roman"/>
          <w:kern w:val="0"/>
          <w:sz w:val="22"/>
          <w14:ligatures w14:val="none"/>
        </w:rPr>
        <w:t>InGen’s</w:t>
      </w:r>
      <w:proofErr w:type="spellEnd"/>
      <w:r w:rsidRPr="00DB5E0F">
        <w:rPr>
          <w:rFonts w:ascii="Times New Roman" w:eastAsia="宋体" w:hAnsi="Times New Roman" w:cs="Times New Roman"/>
          <w:kern w:val="0"/>
          <w:sz w:val="22"/>
          <w14:ligatures w14:val="none"/>
        </w:rPr>
        <w:t xml:space="preserve"> physical AI portfolio, but it does not support treating the full USD 68.1 billion service robotics market as addressable.</w:t>
      </w:r>
    </w:p>
    <w:p w14:paraId="153FF049"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t xml:space="preserve">The strongest near-term path is narrower.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should sell Aido Rover and Sentinel Prime AI as measurable managed outcomes, position Fari around validated eldercare engagement, and use PIC 2.0 as the data and orchestration layer that makes each deployment easier to monitor and improve.</w:t>
      </w:r>
    </w:p>
    <w:p w14:paraId="50F1EC1F" w14:textId="77777777" w:rsidR="00BF60BB" w:rsidRPr="00DB5E0F"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DB5E0F">
        <w:rPr>
          <w:rFonts w:ascii="Times New Roman" w:eastAsia="宋体" w:hAnsi="Times New Roman" w:cs="Times New Roman"/>
          <w:kern w:val="0"/>
          <w:sz w:val="22"/>
          <w14:ligatures w14:val="none"/>
        </w:rPr>
        <w:lastRenderedPageBreak/>
        <w:t xml:space="preserve">This approach aligns </w:t>
      </w:r>
      <w:proofErr w:type="spellStart"/>
      <w:r w:rsidRPr="00DB5E0F">
        <w:rPr>
          <w:rFonts w:ascii="Times New Roman" w:eastAsia="宋体" w:hAnsi="Times New Roman" w:cs="Times New Roman"/>
          <w:kern w:val="0"/>
          <w:sz w:val="22"/>
          <w14:ligatures w14:val="none"/>
        </w:rPr>
        <w:t>InGen</w:t>
      </w:r>
      <w:proofErr w:type="spellEnd"/>
      <w:r w:rsidRPr="00DB5E0F">
        <w:rPr>
          <w:rFonts w:ascii="Times New Roman" w:eastAsia="宋体" w:hAnsi="Times New Roman" w:cs="Times New Roman"/>
          <w:kern w:val="0"/>
          <w:sz w:val="22"/>
          <w14:ligatures w14:val="none"/>
        </w:rPr>
        <w:t xml:space="preserve"> with the growth of service-based robotics while maintaining the source discipline and unit-economics visibility required for responsible expansion.</w:t>
      </w:r>
    </w:p>
    <w:p w14:paraId="6BFC45AA" w14:textId="77777777" w:rsidR="00BF60BB" w:rsidRPr="001A194B" w:rsidRDefault="00BF60BB" w:rsidP="00BF60BB">
      <w:pPr>
        <w:widowControl/>
        <w:spacing w:before="100" w:beforeAutospacing="1" w:after="100" w:afterAutospacing="1"/>
        <w:jc w:val="left"/>
        <w:outlineLvl w:val="1"/>
        <w:rPr>
          <w:rFonts w:ascii="Times New Roman" w:eastAsia="宋体" w:hAnsi="Times New Roman" w:cs="Times New Roman"/>
          <w:b/>
          <w:bCs/>
          <w:kern w:val="0"/>
          <w:sz w:val="24"/>
          <w:szCs w:val="24"/>
          <w14:ligatures w14:val="none"/>
        </w:rPr>
      </w:pPr>
      <w:r w:rsidRPr="001A194B">
        <w:rPr>
          <w:rFonts w:ascii="Times New Roman" w:eastAsia="宋体" w:hAnsi="Times New Roman" w:cs="Times New Roman"/>
          <w:b/>
          <w:bCs/>
          <w:kern w:val="0"/>
          <w:sz w:val="24"/>
          <w:szCs w:val="24"/>
          <w14:ligatures w14:val="none"/>
        </w:rPr>
        <w:t>Sources</w:t>
      </w:r>
    </w:p>
    <w:p w14:paraId="480973E2" w14:textId="77777777" w:rsidR="00BF60BB" w:rsidRPr="001A194B"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1A194B">
        <w:rPr>
          <w:rFonts w:ascii="Times New Roman" w:eastAsia="宋体" w:hAnsi="Times New Roman" w:cs="Times New Roman"/>
          <w:kern w:val="0"/>
          <w:sz w:val="22"/>
          <w14:ligatures w14:val="none"/>
        </w:rPr>
        <w:t xml:space="preserve">[1] </w:t>
      </w:r>
      <w:hyperlink r:id="rId7" w:history="1">
        <w:r w:rsidRPr="001A194B">
          <w:rPr>
            <w:rFonts w:ascii="Times New Roman" w:eastAsia="宋体" w:hAnsi="Times New Roman" w:cs="Times New Roman"/>
            <w:color w:val="0000FF"/>
            <w:kern w:val="0"/>
            <w:sz w:val="22"/>
            <w:u w:val="single"/>
            <w14:ligatures w14:val="none"/>
          </w:rPr>
          <w:t>Grand View Research Service Robotics Market</w:t>
        </w:r>
      </w:hyperlink>
      <w:r w:rsidRPr="001A194B">
        <w:rPr>
          <w:rFonts w:ascii="Times New Roman" w:eastAsia="宋体" w:hAnsi="Times New Roman" w:cs="Times New Roman"/>
          <w:kern w:val="0"/>
          <w:sz w:val="22"/>
          <w14:ligatures w14:val="none"/>
        </w:rPr>
        <w:t xml:space="preserve">. </w:t>
      </w:r>
      <w:r w:rsidRPr="001A194B">
        <w:rPr>
          <w:rFonts w:ascii="Times New Roman" w:eastAsia="宋体" w:hAnsi="Times New Roman" w:cs="Times New Roman"/>
          <w:i/>
          <w:iCs/>
          <w:kern w:val="0"/>
          <w:sz w:val="22"/>
          <w14:ligatures w14:val="none"/>
        </w:rPr>
        <w:t>Service Robotics Market Size, Share and Trends Analysis Report 2024–2030</w:t>
      </w:r>
      <w:r w:rsidRPr="001A194B">
        <w:rPr>
          <w:rFonts w:ascii="Times New Roman" w:eastAsia="宋体" w:hAnsi="Times New Roman" w:cs="Times New Roman"/>
          <w:kern w:val="0"/>
          <w:sz w:val="22"/>
          <w14:ligatures w14:val="none"/>
        </w:rPr>
        <w:t>. Updated July 2026. Accessed September 15 2026.</w:t>
      </w:r>
    </w:p>
    <w:p w14:paraId="2DAF78F3" w14:textId="77777777" w:rsidR="00BF60BB" w:rsidRPr="001A194B"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1A194B">
        <w:rPr>
          <w:rFonts w:ascii="Times New Roman" w:eastAsia="宋体" w:hAnsi="Times New Roman" w:cs="Times New Roman"/>
          <w:kern w:val="0"/>
          <w:sz w:val="22"/>
          <w14:ligatures w14:val="none"/>
        </w:rPr>
        <w:t xml:space="preserve">[2] </w:t>
      </w:r>
      <w:hyperlink r:id="rId8" w:history="1">
        <w:r w:rsidRPr="001A194B">
          <w:rPr>
            <w:rFonts w:ascii="Times New Roman" w:eastAsia="宋体" w:hAnsi="Times New Roman" w:cs="Times New Roman"/>
            <w:color w:val="0000FF"/>
            <w:kern w:val="0"/>
            <w:sz w:val="22"/>
            <w:u w:val="single"/>
            <w14:ligatures w14:val="none"/>
          </w:rPr>
          <w:t>Grand View Research Security Robots Market</w:t>
        </w:r>
      </w:hyperlink>
      <w:r w:rsidRPr="001A194B">
        <w:rPr>
          <w:rFonts w:ascii="Times New Roman" w:eastAsia="宋体" w:hAnsi="Times New Roman" w:cs="Times New Roman"/>
          <w:kern w:val="0"/>
          <w:sz w:val="22"/>
          <w14:ligatures w14:val="none"/>
        </w:rPr>
        <w:t xml:space="preserve">. </w:t>
      </w:r>
      <w:r w:rsidRPr="001A194B">
        <w:rPr>
          <w:rFonts w:ascii="Times New Roman" w:eastAsia="宋体" w:hAnsi="Times New Roman" w:cs="Times New Roman"/>
          <w:i/>
          <w:iCs/>
          <w:kern w:val="0"/>
          <w:sz w:val="22"/>
          <w14:ligatures w14:val="none"/>
        </w:rPr>
        <w:t>Security Robots Market Size, Share and Trends Analysis Report 2024–2030</w:t>
      </w:r>
      <w:r w:rsidRPr="001A194B">
        <w:rPr>
          <w:rFonts w:ascii="Times New Roman" w:eastAsia="宋体" w:hAnsi="Times New Roman" w:cs="Times New Roman"/>
          <w:kern w:val="0"/>
          <w:sz w:val="22"/>
          <w14:ligatures w14:val="none"/>
        </w:rPr>
        <w:t>. Accessed September 15 2026.</w:t>
      </w:r>
    </w:p>
    <w:p w14:paraId="3FBFBF92" w14:textId="77777777" w:rsidR="00BF60BB" w:rsidRPr="001A194B"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1A194B">
        <w:rPr>
          <w:rFonts w:ascii="Times New Roman" w:eastAsia="宋体" w:hAnsi="Times New Roman" w:cs="Times New Roman"/>
          <w:kern w:val="0"/>
          <w:sz w:val="22"/>
          <w14:ligatures w14:val="none"/>
        </w:rPr>
        <w:t xml:space="preserve">[3] </w:t>
      </w:r>
      <w:hyperlink r:id="rId9" w:history="1">
        <w:r w:rsidRPr="001A194B">
          <w:rPr>
            <w:rFonts w:ascii="Times New Roman" w:eastAsia="宋体" w:hAnsi="Times New Roman" w:cs="Times New Roman"/>
            <w:color w:val="0000FF"/>
            <w:kern w:val="0"/>
            <w:sz w:val="22"/>
            <w:u w:val="single"/>
            <w14:ligatures w14:val="none"/>
          </w:rPr>
          <w:t>International Federation of Robotics World Robotics 2025 Service Robots</w:t>
        </w:r>
      </w:hyperlink>
      <w:r w:rsidRPr="001A194B">
        <w:rPr>
          <w:rFonts w:ascii="Times New Roman" w:eastAsia="宋体" w:hAnsi="Times New Roman" w:cs="Times New Roman"/>
          <w:kern w:val="0"/>
          <w:sz w:val="22"/>
          <w14:ligatures w14:val="none"/>
        </w:rPr>
        <w:t>. Professional service robot sales and Robot-as-a-Service growth. October 7 2025. Accessed September 16 2026.</w:t>
      </w:r>
    </w:p>
    <w:p w14:paraId="3A250DD8" w14:textId="347D3201" w:rsidR="00BF60BB" w:rsidRPr="001A194B" w:rsidRDefault="00BF60BB" w:rsidP="00BF60BB">
      <w:pPr>
        <w:widowControl/>
        <w:spacing w:before="100" w:beforeAutospacing="1" w:after="100" w:afterAutospacing="1"/>
        <w:jc w:val="left"/>
        <w:rPr>
          <w:rFonts w:ascii="Times New Roman" w:eastAsia="宋体" w:hAnsi="Times New Roman" w:cs="Times New Roman"/>
          <w:kern w:val="0"/>
          <w:sz w:val="22"/>
          <w14:ligatures w14:val="none"/>
        </w:rPr>
      </w:pPr>
      <w:r w:rsidRPr="001A194B">
        <w:rPr>
          <w:rFonts w:ascii="Times New Roman" w:eastAsia="宋体" w:hAnsi="Times New Roman" w:cs="Times New Roman"/>
          <w:kern w:val="0"/>
          <w:sz w:val="22"/>
          <w14:ligatures w14:val="none"/>
        </w:rPr>
        <w:t xml:space="preserve">[4] </w:t>
      </w:r>
      <w:hyperlink r:id="rId10" w:history="1">
        <w:r w:rsidRPr="001A194B">
          <w:rPr>
            <w:rFonts w:ascii="Times New Roman" w:eastAsia="宋体" w:hAnsi="Times New Roman" w:cs="Times New Roman"/>
            <w:color w:val="0000FF"/>
            <w:kern w:val="0"/>
            <w:sz w:val="22"/>
            <w:u w:val="single"/>
            <w14:ligatures w14:val="none"/>
          </w:rPr>
          <w:t>Knightscope 2025 Form 10-K</w:t>
        </w:r>
      </w:hyperlink>
      <w:r w:rsidRPr="001A194B">
        <w:rPr>
          <w:rFonts w:ascii="Times New Roman" w:eastAsia="宋体" w:hAnsi="Times New Roman" w:cs="Times New Roman"/>
          <w:kern w:val="0"/>
          <w:sz w:val="22"/>
          <w14:ligatures w14:val="none"/>
        </w:rPr>
        <w:t>. Fiscal year ended December 31 2025. Filed March 27 2026.</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3A90EE16" w14:textId="247C968D"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[5] </w:t>
      </w:r>
      <w:hyperlink r:id="rId11" w:history="1">
        <w:r w:rsidRPr="001A194B">
          <w:rPr>
            <w:rFonts w:ascii="Times New Roman" w:eastAsia="宋体" w:hAnsi="Times New Roman" w:cs="Times New Roman"/>
            <w:color w:val="0000FF"/>
            <w:kern w:val="0"/>
            <w:sz w:val="22"/>
            <w:u w:val="single"/>
            <w14:ligatures w14:val="none"/>
          </w:rPr>
          <w:t>Knightscope Q2 2026 Form 10-Q</w:t>
        </w:r>
      </w:hyperlink>
      <w:r w:rsidRPr="001A194B">
        <w:rPr>
          <w:rFonts w:ascii="Times New Roman" w:eastAsia="宋体" w:hAnsi="Times New Roman" w:cs="Times New Roman"/>
          <w:kern w:val="0"/>
          <w:sz w:val="22"/>
          <w14:ligatures w14:val="none"/>
        </w:rPr>
        <w:t>. Quarter ended June 30 2026. Filed August 12 2026.</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650A9AEE" w14:textId="430A0A3E"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[6] </w:t>
      </w:r>
      <w:hyperlink r:id="rId12" w:history="1">
        <w:r w:rsidRPr="001A194B">
          <w:rPr>
            <w:rFonts w:ascii="Times New Roman" w:eastAsia="宋体" w:hAnsi="Times New Roman" w:cs="Times New Roman"/>
            <w:color w:val="0000FF"/>
            <w:kern w:val="0"/>
            <w:sz w:val="22"/>
            <w:u w:val="single"/>
            <w14:ligatures w14:val="none"/>
          </w:rPr>
          <w:t>Kanematsu Investment in Intuition Robotics</w:t>
        </w:r>
      </w:hyperlink>
      <w:r w:rsidRPr="001A194B">
        <w:rPr>
          <w:rFonts w:ascii="Times New Roman" w:eastAsia="宋体" w:hAnsi="Times New Roman" w:cs="Times New Roman"/>
          <w:kern w:val="0"/>
          <w:sz w:val="22"/>
          <w14:ligatures w14:val="none"/>
        </w:rPr>
        <w:t>. ElliQ funding, deployment scale, and product capabilities. September 9 2025.</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62E68D9A" w14:textId="43DE25BD"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[7] </w:t>
      </w:r>
      <w:hyperlink r:id="rId13" w:history="1">
        <w:r w:rsidRPr="001A194B">
          <w:rPr>
            <w:rFonts w:ascii="Times New Roman" w:eastAsia="宋体" w:hAnsi="Times New Roman" w:cs="Times New Roman"/>
            <w:color w:val="0000FF"/>
            <w:kern w:val="0"/>
            <w:sz w:val="22"/>
            <w:u w:val="single"/>
            <w14:ligatures w14:val="none"/>
          </w:rPr>
          <w:t>iRobot 2024 Form 10-K</w:t>
        </w:r>
      </w:hyperlink>
      <w:r w:rsidRPr="001A194B">
        <w:rPr>
          <w:rFonts w:ascii="Times New Roman" w:eastAsia="宋体" w:hAnsi="Times New Roman" w:cs="Times New Roman"/>
          <w:kern w:val="0"/>
          <w:sz w:val="22"/>
          <w14:ligatures w14:val="none"/>
        </w:rPr>
        <w:t>. Fiscal year ended December 28 2024.</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41D3316D" w14:textId="2182D05F"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[8] </w:t>
      </w:r>
      <w:hyperlink r:id="rId14" w:history="1">
        <w:r w:rsidRPr="001A194B">
          <w:rPr>
            <w:rFonts w:ascii="Times New Roman" w:eastAsia="宋体" w:hAnsi="Times New Roman" w:cs="Times New Roman"/>
            <w:color w:val="0000FF"/>
            <w:kern w:val="0"/>
            <w:sz w:val="22"/>
            <w:u w:val="single"/>
            <w14:ligatures w14:val="none"/>
          </w:rPr>
          <w:t>iRobot Court-Supervised Transaction</w:t>
        </w:r>
      </w:hyperlink>
      <w:r w:rsidRPr="001A194B">
        <w:rPr>
          <w:rFonts w:ascii="Times New Roman" w:eastAsia="宋体" w:hAnsi="Times New Roman" w:cs="Times New Roman"/>
          <w:kern w:val="0"/>
          <w:sz w:val="22"/>
          <w14:ligatures w14:val="none"/>
        </w:rPr>
        <w:t>. Completion of the transaction with Picea and transition to private ownership. January 23 2026.</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5E1BEC53" w14:textId="3D34C97A"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[9] </w:t>
      </w:r>
      <w:hyperlink r:id="rId15" w:history="1">
        <w:r w:rsidRPr="001A194B">
          <w:rPr>
            <w:rFonts w:ascii="Times New Roman" w:eastAsia="宋体" w:hAnsi="Times New Roman" w:cs="Times New Roman"/>
            <w:color w:val="0000FF"/>
            <w:kern w:val="0"/>
            <w:sz w:val="22"/>
            <w:u w:val="single"/>
            <w14:ligatures w14:val="none"/>
          </w:rPr>
          <w:t>Unitree 2025 Sales Clarification</w:t>
        </w:r>
      </w:hyperlink>
      <w:r w:rsidRPr="001A194B">
        <w:rPr>
          <w:rFonts w:ascii="Times New Roman" w:eastAsia="宋体" w:hAnsi="Times New Roman" w:cs="Times New Roman"/>
          <w:kern w:val="0"/>
          <w:sz w:val="22"/>
          <w14:ligatures w14:val="none"/>
        </w:rPr>
        <w:t>. More than 5,500 humanoid robots sold and delivered in 2025.</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70462229" w14:textId="01E861F3"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[10] </w:t>
      </w:r>
      <w:hyperlink r:id="rId16" w:history="1">
        <w:r w:rsidRPr="001A194B">
          <w:rPr>
            <w:rFonts w:ascii="Times New Roman" w:eastAsia="宋体" w:hAnsi="Times New Roman" w:cs="Times New Roman"/>
            <w:color w:val="0000FF"/>
            <w:kern w:val="0"/>
            <w:sz w:val="22"/>
            <w:u w:val="single"/>
            <w14:ligatures w14:val="none"/>
          </w:rPr>
          <w:t>Shanghai Stock Exchange Unitree IPO Summary</w:t>
        </w:r>
      </w:hyperlink>
      <w:r w:rsidRPr="001A194B">
        <w:rPr>
          <w:rFonts w:ascii="Times New Roman" w:eastAsia="宋体" w:hAnsi="Times New Roman" w:cs="Times New Roman"/>
          <w:kern w:val="0"/>
          <w:sz w:val="22"/>
          <w14:ligatures w14:val="none"/>
        </w:rPr>
        <w:t>. FY2025 revenue and core-business gross margin. May 26 2026.</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4D998251" w14:textId="3B258D4B"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[11] </w:t>
      </w:r>
      <w:hyperlink r:id="rId17" w:history="1">
        <w:r w:rsidRPr="001A194B">
          <w:rPr>
            <w:rFonts w:ascii="Times New Roman" w:eastAsia="宋体" w:hAnsi="Times New Roman" w:cs="Times New Roman"/>
            <w:color w:val="0000FF"/>
            <w:kern w:val="0"/>
            <w:sz w:val="22"/>
            <w:u w:val="single"/>
            <w14:ligatures w14:val="none"/>
          </w:rPr>
          <w:t>SoftBank Robotics Whiz Series Announcement</w:t>
        </w:r>
      </w:hyperlink>
      <w:r w:rsidRPr="001A194B">
        <w:rPr>
          <w:rFonts w:ascii="Times New Roman" w:eastAsia="宋体" w:hAnsi="Times New Roman" w:cs="Times New Roman"/>
          <w:kern w:val="0"/>
          <w:sz w:val="22"/>
          <w14:ligatures w14:val="none"/>
        </w:rPr>
        <w:t>. Commercial cleaning portfolio and reported global shipments. May 13 2026.</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15294E58" w14:textId="5B6593B5" w:rsidR="00BF60BB" w:rsidRPr="001A194B" w:rsidRDefault="00BF60BB" w:rsidP="00BF60BB">
      <w:pPr>
        <w:widowControl/>
        <w:spacing w:before="100" w:beforeAutospacing="1" w:after="100" w:afterAutospacing="1"/>
        <w:jc w:val="left"/>
        <w:rPr>
          <w:rFonts w:ascii="Times New Roman" w:eastAsia="宋体" w:hAnsi="Times New Roman" w:cs="Times New Roman" w:hint="eastAsia"/>
          <w:kern w:val="0"/>
          <w:sz w:val="22"/>
          <w14:ligatures w14:val="none"/>
        </w:rPr>
      </w:pPr>
      <w:r w:rsidRPr="001A194B">
        <w:rPr>
          <w:rFonts w:ascii="Times New Roman" w:eastAsia="宋体" w:hAnsi="Times New Roman" w:cs="Times New Roman"/>
          <w:kern w:val="0"/>
          <w:sz w:val="22"/>
          <w14:ligatures w14:val="none"/>
        </w:rPr>
        <w:t xml:space="preserve">[12] </w:t>
      </w:r>
      <w:hyperlink r:id="rId18" w:history="1">
        <w:r w:rsidRPr="001A194B">
          <w:rPr>
            <w:rFonts w:ascii="Times New Roman" w:eastAsia="宋体" w:hAnsi="Times New Roman" w:cs="Times New Roman"/>
            <w:color w:val="0000FF"/>
            <w:kern w:val="0"/>
            <w:sz w:val="22"/>
            <w:u w:val="single"/>
            <w14:ligatures w14:val="none"/>
          </w:rPr>
          <w:t>International Federation of Robotics FCC Restrictions</w:t>
        </w:r>
      </w:hyperlink>
      <w:r w:rsidRPr="001A194B">
        <w:rPr>
          <w:rFonts w:ascii="Times New Roman" w:eastAsia="宋体" w:hAnsi="Times New Roman" w:cs="Times New Roman"/>
          <w:kern w:val="0"/>
          <w:sz w:val="22"/>
          <w14:ligatures w14:val="none"/>
        </w:rPr>
        <w:t>. Restrictions on certain foreign-produced advanced robotic devices. August 7 2026.</w:t>
      </w:r>
      <w:r w:rsidR="00B65FFE">
        <w:rPr>
          <w:rFonts w:ascii="Times New Roman" w:eastAsia="宋体" w:hAnsi="Times New Roman" w:cs="Times New Roman" w:hint="eastAsia"/>
          <w:kern w:val="0"/>
          <w:sz w:val="22"/>
          <w14:ligatures w14:val="none"/>
        </w:rPr>
        <w:t xml:space="preserve"> </w:t>
      </w:r>
      <w:r w:rsidR="00B65FFE" w:rsidRPr="00B65FFE">
        <w:rPr>
          <w:rFonts w:ascii="Times New Roman" w:eastAsia="宋体" w:hAnsi="Times New Roman" w:cs="Times New Roman"/>
          <w:kern w:val="0"/>
          <w:sz w:val="22"/>
          <w14:ligatures w14:val="none"/>
        </w:rPr>
        <w:t>Accessed September 16, 2026.</w:t>
      </w:r>
    </w:p>
    <w:p w14:paraId="180C0C42" w14:textId="77777777" w:rsidR="00903C2A" w:rsidRDefault="00903C2A"/>
    <w:sectPr w:rsidR="00903C2A" w:rsidSect="0057699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35F7B" w14:textId="77777777" w:rsidR="002A1761" w:rsidRDefault="002A1761" w:rsidP="00BF60BB">
      <w:r>
        <w:separator/>
      </w:r>
    </w:p>
  </w:endnote>
  <w:endnote w:type="continuationSeparator" w:id="0">
    <w:p w14:paraId="0CDDCFD5" w14:textId="77777777" w:rsidR="002A1761" w:rsidRDefault="002A1761" w:rsidP="00BF60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E2AC7" w14:textId="77777777" w:rsidR="002A1761" w:rsidRDefault="002A1761" w:rsidP="00BF60BB">
      <w:r>
        <w:separator/>
      </w:r>
    </w:p>
  </w:footnote>
  <w:footnote w:type="continuationSeparator" w:id="0">
    <w:p w14:paraId="719D5370" w14:textId="77777777" w:rsidR="002A1761" w:rsidRDefault="002A1761" w:rsidP="00BF60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38E9"/>
    <w:multiLevelType w:val="multilevel"/>
    <w:tmpl w:val="1A8EF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697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E07A1"/>
    <w:rsid w:val="001A194B"/>
    <w:rsid w:val="00277BDE"/>
    <w:rsid w:val="002A1761"/>
    <w:rsid w:val="003D5FC0"/>
    <w:rsid w:val="003E07A1"/>
    <w:rsid w:val="004447D5"/>
    <w:rsid w:val="005661DD"/>
    <w:rsid w:val="00576998"/>
    <w:rsid w:val="0064302F"/>
    <w:rsid w:val="006B2370"/>
    <w:rsid w:val="006B7196"/>
    <w:rsid w:val="007755A2"/>
    <w:rsid w:val="00903C2A"/>
    <w:rsid w:val="00B65FFE"/>
    <w:rsid w:val="00BF60BB"/>
    <w:rsid w:val="00DB5E0F"/>
    <w:rsid w:val="00DE0BE6"/>
    <w:rsid w:val="00E56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6D5884"/>
  <w15:chartTrackingRefBased/>
  <w15:docId w15:val="{AE96B872-A3F7-43D8-800F-71CAFABF8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07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07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07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07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07A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07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07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07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07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07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07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07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07A1"/>
    <w:rPr>
      <w:rFonts w:cstheme="majorBidi"/>
      <w:color w:val="0F4761" w:themeColor="accent1" w:themeShade="BF"/>
      <w:sz w:val="28"/>
      <w:szCs w:val="28"/>
    </w:rPr>
  </w:style>
  <w:style w:type="character" w:customStyle="1" w:styleId="50">
    <w:name w:val="标题 5 字符"/>
    <w:basedOn w:val="a0"/>
    <w:link w:val="5"/>
    <w:uiPriority w:val="9"/>
    <w:semiHidden/>
    <w:rsid w:val="003E07A1"/>
    <w:rPr>
      <w:rFonts w:cstheme="majorBidi"/>
      <w:color w:val="0F4761" w:themeColor="accent1" w:themeShade="BF"/>
      <w:sz w:val="24"/>
      <w:szCs w:val="24"/>
    </w:rPr>
  </w:style>
  <w:style w:type="character" w:customStyle="1" w:styleId="60">
    <w:name w:val="标题 6 字符"/>
    <w:basedOn w:val="a0"/>
    <w:link w:val="6"/>
    <w:uiPriority w:val="9"/>
    <w:semiHidden/>
    <w:rsid w:val="003E07A1"/>
    <w:rPr>
      <w:rFonts w:cstheme="majorBidi"/>
      <w:b/>
      <w:bCs/>
      <w:color w:val="0F4761" w:themeColor="accent1" w:themeShade="BF"/>
    </w:rPr>
  </w:style>
  <w:style w:type="character" w:customStyle="1" w:styleId="70">
    <w:name w:val="标题 7 字符"/>
    <w:basedOn w:val="a0"/>
    <w:link w:val="7"/>
    <w:uiPriority w:val="9"/>
    <w:semiHidden/>
    <w:rsid w:val="003E07A1"/>
    <w:rPr>
      <w:rFonts w:cstheme="majorBidi"/>
      <w:b/>
      <w:bCs/>
      <w:color w:val="595959" w:themeColor="text1" w:themeTint="A6"/>
    </w:rPr>
  </w:style>
  <w:style w:type="character" w:customStyle="1" w:styleId="80">
    <w:name w:val="标题 8 字符"/>
    <w:basedOn w:val="a0"/>
    <w:link w:val="8"/>
    <w:uiPriority w:val="9"/>
    <w:semiHidden/>
    <w:rsid w:val="003E07A1"/>
    <w:rPr>
      <w:rFonts w:cstheme="majorBidi"/>
      <w:color w:val="595959" w:themeColor="text1" w:themeTint="A6"/>
    </w:rPr>
  </w:style>
  <w:style w:type="character" w:customStyle="1" w:styleId="90">
    <w:name w:val="标题 9 字符"/>
    <w:basedOn w:val="a0"/>
    <w:link w:val="9"/>
    <w:uiPriority w:val="9"/>
    <w:semiHidden/>
    <w:rsid w:val="003E07A1"/>
    <w:rPr>
      <w:rFonts w:eastAsiaTheme="majorEastAsia" w:cstheme="majorBidi"/>
      <w:color w:val="595959" w:themeColor="text1" w:themeTint="A6"/>
    </w:rPr>
  </w:style>
  <w:style w:type="paragraph" w:styleId="a3">
    <w:name w:val="Title"/>
    <w:basedOn w:val="a"/>
    <w:next w:val="a"/>
    <w:link w:val="a4"/>
    <w:uiPriority w:val="10"/>
    <w:qFormat/>
    <w:rsid w:val="003E07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07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07A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07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07A1"/>
    <w:pPr>
      <w:spacing w:before="160" w:after="160"/>
      <w:jc w:val="center"/>
    </w:pPr>
    <w:rPr>
      <w:i/>
      <w:iCs/>
      <w:color w:val="404040" w:themeColor="text1" w:themeTint="BF"/>
    </w:rPr>
  </w:style>
  <w:style w:type="character" w:customStyle="1" w:styleId="a8">
    <w:name w:val="引用 字符"/>
    <w:basedOn w:val="a0"/>
    <w:link w:val="a7"/>
    <w:uiPriority w:val="29"/>
    <w:rsid w:val="003E07A1"/>
    <w:rPr>
      <w:i/>
      <w:iCs/>
      <w:color w:val="404040" w:themeColor="text1" w:themeTint="BF"/>
    </w:rPr>
  </w:style>
  <w:style w:type="paragraph" w:styleId="a9">
    <w:name w:val="List Paragraph"/>
    <w:basedOn w:val="a"/>
    <w:uiPriority w:val="34"/>
    <w:qFormat/>
    <w:rsid w:val="003E07A1"/>
    <w:pPr>
      <w:ind w:left="720"/>
      <w:contextualSpacing/>
    </w:pPr>
  </w:style>
  <w:style w:type="character" w:styleId="aa">
    <w:name w:val="Intense Emphasis"/>
    <w:basedOn w:val="a0"/>
    <w:uiPriority w:val="21"/>
    <w:qFormat/>
    <w:rsid w:val="003E07A1"/>
    <w:rPr>
      <w:i/>
      <w:iCs/>
      <w:color w:val="0F4761" w:themeColor="accent1" w:themeShade="BF"/>
    </w:rPr>
  </w:style>
  <w:style w:type="paragraph" w:styleId="ab">
    <w:name w:val="Intense Quote"/>
    <w:basedOn w:val="a"/>
    <w:next w:val="a"/>
    <w:link w:val="ac"/>
    <w:uiPriority w:val="30"/>
    <w:qFormat/>
    <w:rsid w:val="003E0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07A1"/>
    <w:rPr>
      <w:i/>
      <w:iCs/>
      <w:color w:val="0F4761" w:themeColor="accent1" w:themeShade="BF"/>
    </w:rPr>
  </w:style>
  <w:style w:type="character" w:styleId="ad">
    <w:name w:val="Intense Reference"/>
    <w:basedOn w:val="a0"/>
    <w:uiPriority w:val="32"/>
    <w:qFormat/>
    <w:rsid w:val="003E07A1"/>
    <w:rPr>
      <w:b/>
      <w:bCs/>
      <w:smallCaps/>
      <w:color w:val="0F4761" w:themeColor="accent1" w:themeShade="BF"/>
      <w:spacing w:val="5"/>
    </w:rPr>
  </w:style>
  <w:style w:type="paragraph" w:styleId="ae">
    <w:name w:val="header"/>
    <w:basedOn w:val="a"/>
    <w:link w:val="af"/>
    <w:uiPriority w:val="99"/>
    <w:unhideWhenUsed/>
    <w:rsid w:val="00BF60BB"/>
    <w:pPr>
      <w:tabs>
        <w:tab w:val="center" w:pos="4153"/>
        <w:tab w:val="right" w:pos="8306"/>
      </w:tabs>
      <w:snapToGrid w:val="0"/>
      <w:jc w:val="center"/>
    </w:pPr>
    <w:rPr>
      <w:sz w:val="18"/>
      <w:szCs w:val="18"/>
    </w:rPr>
  </w:style>
  <w:style w:type="character" w:customStyle="1" w:styleId="af">
    <w:name w:val="页眉 字符"/>
    <w:basedOn w:val="a0"/>
    <w:link w:val="ae"/>
    <w:uiPriority w:val="99"/>
    <w:rsid w:val="00BF60BB"/>
    <w:rPr>
      <w:sz w:val="18"/>
      <w:szCs w:val="18"/>
    </w:rPr>
  </w:style>
  <w:style w:type="paragraph" w:styleId="af0">
    <w:name w:val="footer"/>
    <w:basedOn w:val="a"/>
    <w:link w:val="af1"/>
    <w:uiPriority w:val="99"/>
    <w:unhideWhenUsed/>
    <w:rsid w:val="00BF60BB"/>
    <w:pPr>
      <w:tabs>
        <w:tab w:val="center" w:pos="4153"/>
        <w:tab w:val="right" w:pos="8306"/>
      </w:tabs>
      <w:snapToGrid w:val="0"/>
      <w:jc w:val="left"/>
    </w:pPr>
    <w:rPr>
      <w:sz w:val="18"/>
      <w:szCs w:val="18"/>
    </w:rPr>
  </w:style>
  <w:style w:type="character" w:customStyle="1" w:styleId="af1">
    <w:name w:val="页脚 字符"/>
    <w:basedOn w:val="a0"/>
    <w:link w:val="af0"/>
    <w:uiPriority w:val="99"/>
    <w:rsid w:val="00BF60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ndviewresearch.com/industry-analysis/security-robots-market-report" TargetMode="External"/><Relationship Id="rId13" Type="http://schemas.openxmlformats.org/officeDocument/2006/relationships/hyperlink" Target="https://www.sec.gov/Archives/edgar/data/1159167/000115916725000011/irbt-20241228.htm" TargetMode="External"/><Relationship Id="rId18" Type="http://schemas.openxmlformats.org/officeDocument/2006/relationships/hyperlink" Target="https://ifr.org/ifr-press-releases/news/fcc-restrictions-on-foreign-produced-advanced-robotic-devices" TargetMode="External"/><Relationship Id="rId3" Type="http://schemas.openxmlformats.org/officeDocument/2006/relationships/settings" Target="settings.xml"/><Relationship Id="rId7" Type="http://schemas.openxmlformats.org/officeDocument/2006/relationships/hyperlink" Target="https://www.grandviewresearch.com/industry-analysis/service-robotics-industry" TargetMode="External"/><Relationship Id="rId12" Type="http://schemas.openxmlformats.org/officeDocument/2006/relationships/hyperlink" Target="https://www.kanematsu.co.jp/en/press/release/20250909_release" TargetMode="External"/><Relationship Id="rId17" Type="http://schemas.openxmlformats.org/officeDocument/2006/relationships/hyperlink" Target="https://www.softbankrobotics.com/jp/news/press/20260513a/" TargetMode="External"/><Relationship Id="rId2" Type="http://schemas.openxmlformats.org/officeDocument/2006/relationships/styles" Target="styles.xml"/><Relationship Id="rId16" Type="http://schemas.openxmlformats.org/officeDocument/2006/relationships/hyperlink" Target="https://english.sse.com.cn/news/newsrelease/voice/c/c_20260526_10819716.s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ec.gov/Archives/edgar/data/1600983/000110465926094859/kscp-20260630x10q.htm" TargetMode="External"/><Relationship Id="rId5" Type="http://schemas.openxmlformats.org/officeDocument/2006/relationships/footnotes" Target="footnotes.xml"/><Relationship Id="rId15" Type="http://schemas.openxmlformats.org/officeDocument/2006/relationships/hyperlink" Target="https://shop.unitree.com/blogs/news/clarification-regarding-unitrees-2025-sales-data" TargetMode="External"/><Relationship Id="rId10" Type="http://schemas.openxmlformats.org/officeDocument/2006/relationships/hyperlink" Target="https://www.sec.gov/Archives/edgar/data/1600983/000110465926036240/kscp-20251231x10k.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ifr.org/ifr-press-releases/news/service-robots-see-global-growth-boom" TargetMode="External"/><Relationship Id="rId14" Type="http://schemas.openxmlformats.org/officeDocument/2006/relationships/hyperlink" Target="https://media.irobot.com/2026-01-23-iRobot-Completes-Court-Supervised-Transaction-with-Picea,-Enabling-the-Next-Chapter-of-Growth"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2128</Words>
  <Characters>13495</Characters>
  <Application>Microsoft Office Word</Application>
  <DocSecurity>0</DocSecurity>
  <Lines>321</Lines>
  <Paragraphs>117</Paragraphs>
  <ScaleCrop>false</ScaleCrop>
  <Company/>
  <LinksUpToDate>false</LinksUpToDate>
  <CharactersWithSpaces>15506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胤诚 张</dc:creator>
  <cp:keywords/>
  <dc:description/>
  <cp:lastModifiedBy>胤诚 张</cp:lastModifiedBy>
  <cp:revision>6</cp:revision>
  <dcterms:created xsi:type="dcterms:W3CDTF">2026-09-16T15:51:00Z</dcterms:created>
  <dcterms:modified xsi:type="dcterms:W3CDTF">2026-09-21T15:16:00Z</dcterms:modified>
</cp:coreProperties>
</file>