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D52BF" w14:textId="202B5A22" w:rsidR="002067AB" w:rsidRPr="002067AB" w:rsidRDefault="002067AB" w:rsidP="002067AB">
      <w:pPr>
        <w:jc w:val="center"/>
        <w:rPr>
          <w:rFonts w:ascii="Times New Roman" w:hAnsi="Times New Roman" w:cs="Times New Roman"/>
          <w:b/>
          <w:bCs/>
          <w:sz w:val="32"/>
          <w:szCs w:val="32"/>
        </w:rPr>
      </w:pPr>
      <w:r w:rsidRPr="002067AB">
        <w:rPr>
          <w:rFonts w:ascii="Times New Roman" w:hAnsi="Times New Roman" w:cs="Times New Roman"/>
          <w:b/>
          <w:bCs/>
          <w:sz w:val="32"/>
          <w:szCs w:val="32"/>
        </w:rPr>
        <w:t>W01 InGen Data Ecosystem Audit</w:t>
      </w:r>
    </w:p>
    <w:p w14:paraId="6A1B5B9D" w14:textId="19019CF8" w:rsidR="002067AB" w:rsidRPr="002067AB" w:rsidRDefault="002067AB" w:rsidP="002067AB">
      <w:pPr>
        <w:jc w:val="center"/>
        <w:rPr>
          <w:rFonts w:ascii="Times New Roman" w:hAnsi="Times New Roman" w:cs="Times New Roman"/>
          <w:sz w:val="20"/>
          <w:szCs w:val="20"/>
        </w:rPr>
      </w:pPr>
      <w:r w:rsidRPr="002067AB">
        <w:rPr>
          <w:rFonts w:ascii="Times New Roman" w:hAnsi="Times New Roman" w:cs="Times New Roman"/>
          <w:sz w:val="20"/>
          <w:szCs w:val="20"/>
        </w:rPr>
        <w:t>Yincheng Zhang |Week 1</w:t>
      </w:r>
    </w:p>
    <w:p w14:paraId="1A01A73D" w14:textId="2D672C4D" w:rsidR="00903C2A" w:rsidRPr="002067AB" w:rsidRDefault="00BB1C3C" w:rsidP="002067AB">
      <w:pPr>
        <w:jc w:val="left"/>
        <w:rPr>
          <w:rFonts w:ascii="Times New Roman" w:hAnsi="Times New Roman" w:cs="Times New Roman"/>
          <w:b/>
          <w:bCs/>
          <w:sz w:val="28"/>
          <w:szCs w:val="28"/>
        </w:rPr>
      </w:pPr>
      <w:r w:rsidRPr="002067AB">
        <w:rPr>
          <w:rFonts w:ascii="Times New Roman" w:hAnsi="Times New Roman" w:cs="Times New Roman"/>
          <w:b/>
          <w:bCs/>
          <w:sz w:val="28"/>
          <w:szCs w:val="28"/>
        </w:rPr>
        <w:t>Aido Rover</w:t>
      </w:r>
    </w:p>
    <w:p w14:paraId="4263CEF7" w14:textId="5057308A" w:rsidR="00BB1C3C" w:rsidRPr="002067AB" w:rsidRDefault="00BB1C3C" w:rsidP="002067AB">
      <w:pPr>
        <w:jc w:val="left"/>
        <w:rPr>
          <w:rFonts w:ascii="Times New Roman" w:hAnsi="Times New Roman" w:cs="Times New Roman"/>
          <w:b/>
          <w:bCs/>
          <w:sz w:val="24"/>
          <w:szCs w:val="24"/>
        </w:rPr>
      </w:pPr>
      <w:r w:rsidRPr="002067AB">
        <w:rPr>
          <w:rFonts w:ascii="Times New Roman" w:hAnsi="Times New Roman" w:cs="Times New Roman"/>
          <w:b/>
          <w:bCs/>
          <w:sz w:val="24"/>
          <w:szCs w:val="24"/>
        </w:rPr>
        <w:t>Primary Data Types</w:t>
      </w:r>
    </w:p>
    <w:p w14:paraId="102DF40D" w14:textId="77777777" w:rsidR="00BB1C3C" w:rsidRPr="002067AB" w:rsidRDefault="00BB1C3C" w:rsidP="006C45E0">
      <w:pPr>
        <w:jc w:val="left"/>
        <w:rPr>
          <w:rFonts w:ascii="Times New Roman" w:hAnsi="Times New Roman" w:cs="Times New Roman"/>
          <w:sz w:val="22"/>
        </w:rPr>
      </w:pPr>
      <w:r w:rsidRPr="002067AB">
        <w:rPr>
          <w:rFonts w:ascii="Times New Roman" w:hAnsi="Times New Roman" w:cs="Times New Roman"/>
          <w:sz w:val="22"/>
        </w:rPr>
        <w:t>Aido Rover is designed to generate a broad range of multimodal sensor, operational, event, and system-interface data. Its sensor architecture includes LiDAR, RGB and RGB-D cameras, thermal and multispectral imaging, acoustic arrays, radar, gas sensors, environmental sensors, IMU/odometry, and GPS/RTK positioning. These systems can generate spatial, visual, thermal, acoustic, environmental, and positioning data during patrol and inspection operations.</w:t>
      </w:r>
    </w:p>
    <w:p w14:paraId="4DF8440E" w14:textId="77777777" w:rsidR="00BB1C3C" w:rsidRDefault="00BB1C3C" w:rsidP="006C45E0">
      <w:pPr>
        <w:jc w:val="left"/>
        <w:rPr>
          <w:rFonts w:ascii="Times New Roman" w:hAnsi="Times New Roman" w:cs="Times New Roman"/>
          <w:sz w:val="22"/>
        </w:rPr>
      </w:pPr>
      <w:r w:rsidRPr="002067AB">
        <w:rPr>
          <w:rFonts w:ascii="Times New Roman" w:hAnsi="Times New Roman" w:cs="Times New Roman"/>
          <w:sz w:val="22"/>
        </w:rPr>
        <w:t>Operational data can include patrol trajectories, location records, runtime and battery status, navigation status, communications availability, charging activity, and coverage-related records. Event data is generated through the platform's planned detection functions, including perimeter breach detection, person and vehicle classification, loitering, abandoned-object detection, aggression detection, acoustic-event detection, infrastructure anomalies, gas leaks, fire risk, and drone/UAV detection.</w:t>
      </w:r>
    </w:p>
    <w:p w14:paraId="2E8CBB9F" w14:textId="77777777" w:rsidR="006C45E0" w:rsidRPr="002067AB" w:rsidRDefault="006C45E0" w:rsidP="006C45E0">
      <w:pPr>
        <w:jc w:val="left"/>
        <w:rPr>
          <w:rFonts w:ascii="Times New Roman" w:hAnsi="Times New Roman" w:cs="Times New Roman"/>
          <w:sz w:val="22"/>
        </w:rPr>
      </w:pPr>
    </w:p>
    <w:p w14:paraId="6E876051" w14:textId="6DAB3FC4" w:rsidR="00AC684A" w:rsidRDefault="00BB1C3C" w:rsidP="006C45E0">
      <w:pPr>
        <w:jc w:val="left"/>
        <w:rPr>
          <w:rFonts w:ascii="Times New Roman" w:hAnsi="Times New Roman" w:cs="Times New Roman"/>
          <w:sz w:val="22"/>
        </w:rPr>
      </w:pPr>
      <w:r w:rsidRPr="002067AB">
        <w:rPr>
          <w:rFonts w:ascii="Times New Roman" w:hAnsi="Times New Roman" w:cs="Times New Roman"/>
          <w:sz w:val="22"/>
        </w:rPr>
        <w:t>The platform also supports system-interface and operator interaction data. Its planned architecture includes REST APIs, WebSocket connections, webhooks, CMMS integration, evidence buffering, and an on-command deterrent system. These interfaces may generate records of system requests, alerts, operator-triggered actions, and integration events.</w:t>
      </w:r>
    </w:p>
    <w:p w14:paraId="65C56867" w14:textId="77777777" w:rsidR="006C45E0" w:rsidRPr="002067AB" w:rsidRDefault="006C45E0" w:rsidP="002067AB">
      <w:pPr>
        <w:spacing w:line="360" w:lineRule="auto"/>
        <w:jc w:val="left"/>
        <w:rPr>
          <w:rFonts w:ascii="Times New Roman" w:hAnsi="Times New Roman" w:cs="Times New Roman"/>
          <w:sz w:val="22"/>
        </w:rPr>
      </w:pPr>
    </w:p>
    <w:p w14:paraId="7C478A33" w14:textId="2C3FD76F" w:rsidR="00BB1C3C" w:rsidRPr="002067AB" w:rsidRDefault="00BB1C3C" w:rsidP="002067AB">
      <w:pPr>
        <w:jc w:val="left"/>
        <w:rPr>
          <w:rFonts w:ascii="Times New Roman" w:hAnsi="Times New Roman" w:cs="Times New Roman"/>
          <w:b/>
          <w:bCs/>
          <w:sz w:val="24"/>
          <w:szCs w:val="24"/>
        </w:rPr>
      </w:pPr>
      <w:r w:rsidRPr="002067AB">
        <w:rPr>
          <w:rFonts w:ascii="Times New Roman" w:hAnsi="Times New Roman" w:cs="Times New Roman"/>
          <w:b/>
          <w:bCs/>
          <w:sz w:val="24"/>
          <w:szCs w:val="24"/>
        </w:rPr>
        <w:t>Five Analytical Question</w:t>
      </w:r>
    </w:p>
    <w:p w14:paraId="2ED38D9E" w14:textId="10853497" w:rsidR="00BB1C3C" w:rsidRPr="002067AB" w:rsidRDefault="00BB1C3C" w:rsidP="006C45E0">
      <w:pPr>
        <w:pStyle w:val="a9"/>
        <w:numPr>
          <w:ilvl w:val="0"/>
          <w:numId w:val="1"/>
        </w:numPr>
        <w:ind w:left="442" w:hanging="442"/>
        <w:jc w:val="left"/>
        <w:rPr>
          <w:rFonts w:ascii="Times New Roman" w:hAnsi="Times New Roman" w:cs="Times New Roman"/>
          <w:sz w:val="22"/>
        </w:rPr>
      </w:pPr>
      <w:r w:rsidRPr="002067AB">
        <w:rPr>
          <w:rFonts w:ascii="Times New Roman" w:hAnsi="Times New Roman" w:cs="Times New Roman"/>
          <w:sz w:val="22"/>
        </w:rPr>
        <w:t xml:space="preserve">What is the patrol coverage rate per shift, and how does it vary by time of day and deployment environment? </w:t>
      </w:r>
    </w:p>
    <w:p w14:paraId="6123D461" w14:textId="77777777" w:rsidR="00AC684A" w:rsidRPr="002067AB" w:rsidRDefault="00AC684A" w:rsidP="006C45E0">
      <w:pPr>
        <w:pStyle w:val="a9"/>
        <w:numPr>
          <w:ilvl w:val="0"/>
          <w:numId w:val="1"/>
        </w:numPr>
        <w:ind w:left="442" w:hanging="442"/>
        <w:jc w:val="left"/>
        <w:rPr>
          <w:rFonts w:ascii="Times New Roman" w:hAnsi="Times New Roman" w:cs="Times New Roman"/>
          <w:sz w:val="22"/>
        </w:rPr>
      </w:pPr>
      <w:r w:rsidRPr="002067AB">
        <w:rPr>
          <w:rFonts w:ascii="Times New Roman" w:hAnsi="Times New Roman" w:cs="Times New Roman"/>
          <w:sz w:val="22"/>
        </w:rPr>
        <w:t>What are the incident detection and false alarm rates, and how do they change across different detection thresholds or event types?</w:t>
      </w:r>
    </w:p>
    <w:p w14:paraId="6A1E30B8" w14:textId="26F35C2C" w:rsidR="00052EE4" w:rsidRPr="002067AB" w:rsidRDefault="00052EE4" w:rsidP="006C45E0">
      <w:pPr>
        <w:pStyle w:val="a9"/>
        <w:numPr>
          <w:ilvl w:val="0"/>
          <w:numId w:val="1"/>
        </w:numPr>
        <w:ind w:left="442" w:hanging="442"/>
        <w:jc w:val="left"/>
        <w:rPr>
          <w:rFonts w:ascii="Times New Roman" w:hAnsi="Times New Roman" w:cs="Times New Roman"/>
          <w:sz w:val="22"/>
        </w:rPr>
      </w:pPr>
      <w:r w:rsidRPr="002067AB">
        <w:rPr>
          <w:rFonts w:ascii="Times New Roman" w:hAnsi="Times New Roman" w:cs="Times New Roman"/>
          <w:sz w:val="22"/>
        </w:rPr>
        <w:t>What is the operational availability rate, and how does downtime vary across deployment environments and operating conditions?</w:t>
      </w:r>
    </w:p>
    <w:p w14:paraId="6B641D1A" w14:textId="1821F770" w:rsidR="00BB1C3C" w:rsidRPr="002067AB" w:rsidRDefault="00BB1C3C" w:rsidP="006C45E0">
      <w:pPr>
        <w:pStyle w:val="a9"/>
        <w:numPr>
          <w:ilvl w:val="0"/>
          <w:numId w:val="1"/>
        </w:numPr>
        <w:ind w:left="442" w:hanging="442"/>
        <w:jc w:val="left"/>
        <w:rPr>
          <w:rFonts w:ascii="Times New Roman" w:hAnsi="Times New Roman" w:cs="Times New Roman"/>
          <w:sz w:val="22"/>
        </w:rPr>
      </w:pPr>
      <w:r w:rsidRPr="002067AB">
        <w:rPr>
          <w:rFonts w:ascii="Times New Roman" w:hAnsi="Times New Roman" w:cs="Times New Roman"/>
          <w:sz w:val="22"/>
        </w:rPr>
        <w:t xml:space="preserve">How does energy consumption per patrol hour vary across different terrain, environmental conditions, and sensor workloads? </w:t>
      </w:r>
    </w:p>
    <w:p w14:paraId="1E50F4D4" w14:textId="351F94D4" w:rsidR="00BB1C3C" w:rsidRDefault="00052EE4" w:rsidP="006C45E0">
      <w:pPr>
        <w:pStyle w:val="a9"/>
        <w:numPr>
          <w:ilvl w:val="0"/>
          <w:numId w:val="1"/>
        </w:numPr>
        <w:ind w:left="442" w:hanging="442"/>
        <w:jc w:val="left"/>
        <w:rPr>
          <w:rFonts w:ascii="Times New Roman" w:hAnsi="Times New Roman" w:cs="Times New Roman"/>
          <w:sz w:val="22"/>
        </w:rPr>
      </w:pPr>
      <w:r w:rsidRPr="002067AB">
        <w:rPr>
          <w:rFonts w:ascii="Times New Roman" w:hAnsi="Times New Roman" w:cs="Times New Roman"/>
          <w:sz w:val="22"/>
        </w:rPr>
        <w:t>What proportion of detected incidents requires human verification or escalation, and how does response time vary by incident type?</w:t>
      </w:r>
    </w:p>
    <w:p w14:paraId="66D70D2E" w14:textId="77777777" w:rsidR="006C45E0" w:rsidRPr="006C45E0" w:rsidRDefault="006C45E0" w:rsidP="006C45E0">
      <w:pPr>
        <w:jc w:val="left"/>
        <w:rPr>
          <w:rFonts w:ascii="Times New Roman" w:hAnsi="Times New Roman" w:cs="Times New Roman"/>
          <w:sz w:val="22"/>
        </w:rPr>
      </w:pPr>
    </w:p>
    <w:p w14:paraId="46A60CC8" w14:textId="65465EAE" w:rsidR="00052EE4" w:rsidRPr="002067AB" w:rsidRDefault="00052EE4" w:rsidP="002067AB">
      <w:pPr>
        <w:jc w:val="left"/>
        <w:rPr>
          <w:rFonts w:ascii="Times New Roman" w:hAnsi="Times New Roman" w:cs="Times New Roman"/>
          <w:b/>
          <w:bCs/>
          <w:sz w:val="24"/>
          <w:szCs w:val="24"/>
        </w:rPr>
      </w:pPr>
      <w:r w:rsidRPr="002067AB">
        <w:rPr>
          <w:rFonts w:ascii="Times New Roman" w:hAnsi="Times New Roman" w:cs="Times New Roman"/>
          <w:b/>
          <w:bCs/>
          <w:sz w:val="24"/>
          <w:szCs w:val="24"/>
        </w:rPr>
        <w:t>Public Proxy Data</w:t>
      </w:r>
    </w:p>
    <w:p w14:paraId="3676C533" w14:textId="5AA3320B" w:rsidR="00052EE4" w:rsidRPr="002067AB" w:rsidRDefault="00052EE4" w:rsidP="006C45E0">
      <w:pPr>
        <w:jc w:val="left"/>
        <w:rPr>
          <w:rFonts w:ascii="Times New Roman" w:hAnsi="Times New Roman" w:cs="Times New Roman"/>
          <w:sz w:val="22"/>
        </w:rPr>
      </w:pPr>
      <w:r w:rsidRPr="002067AB">
        <w:rPr>
          <w:rFonts w:ascii="Times New Roman" w:hAnsi="Times New Roman" w:cs="Times New Roman"/>
          <w:sz w:val="22"/>
        </w:rPr>
        <w:t>Knightscope, Inc. is used as the primary public operational proxy for Aido Rover. Knightscope operates autonomous security robots designed for outdoor patrol and provides publicly available operational and financial information through its SEC filings and investor materials. Its K5 Autonomous Security Robot performs continuous autonomous patrol across defined routes in structured outdoor environments such as parking lots, campuses, and walkways, while its developing K7 platform targets larger outdoor environments and light off-road applications. These use cases make Knightscope relevant for benchmarking Aido Rover's patrol operations, detection workflows, reliability, and incident-response processes.</w:t>
      </w:r>
    </w:p>
    <w:p w14:paraId="559341CC" w14:textId="1F43FDA2" w:rsidR="00052EE4" w:rsidRDefault="00052EE4" w:rsidP="006C45E0">
      <w:pPr>
        <w:jc w:val="left"/>
        <w:rPr>
          <w:rFonts w:ascii="Times New Roman" w:hAnsi="Times New Roman" w:cs="Times New Roman"/>
          <w:sz w:val="22"/>
        </w:rPr>
      </w:pPr>
      <w:r w:rsidRPr="002067AB">
        <w:rPr>
          <w:rFonts w:ascii="Times New Roman" w:hAnsi="Times New Roman" w:cs="Times New Roman"/>
          <w:sz w:val="22"/>
        </w:rPr>
        <w:lastRenderedPageBreak/>
        <w:t xml:space="preserve">Knightscope's public disclosures also confirm that its deployed ASRs generate operational data that can be monitored through the Knightscope Security Operations Center (KSOC), including real-time and historical robot data, alert review, AI-driven event detection, and incident documentation. The company's 2025 Form 10-K also refers to downtime credits associated with service-level performance, providing evidence that robot availability and downtime are commercially relevant operational metrics. </w:t>
      </w:r>
    </w:p>
    <w:p w14:paraId="5FD25BB4" w14:textId="77777777" w:rsidR="006C45E0" w:rsidRPr="002067AB" w:rsidRDefault="006C45E0" w:rsidP="006C45E0">
      <w:pPr>
        <w:jc w:val="left"/>
        <w:rPr>
          <w:rFonts w:ascii="Times New Roman" w:hAnsi="Times New Roman" w:cs="Times New Roman"/>
          <w:sz w:val="22"/>
        </w:rPr>
      </w:pPr>
    </w:p>
    <w:p w14:paraId="727DEF32" w14:textId="3A1C037E" w:rsidR="00052EE4" w:rsidRDefault="00052EE4" w:rsidP="006C45E0">
      <w:pPr>
        <w:jc w:val="left"/>
        <w:rPr>
          <w:rFonts w:ascii="Times New Roman" w:hAnsi="Times New Roman" w:cs="Times New Roman"/>
          <w:sz w:val="22"/>
        </w:rPr>
      </w:pPr>
      <w:r w:rsidRPr="002067AB">
        <w:rPr>
          <w:rFonts w:ascii="Times New Roman" w:hAnsi="Times New Roman" w:cs="Times New Roman"/>
          <w:sz w:val="22"/>
        </w:rPr>
        <w:t>However, Knightscope should be treated as an operational proxy rather than a direct physical-performance proxy. The deployed K5 differs from Aido Rover in platform geometry, mobility design, sensor architecture, and intended terrain. The K7 is more comparable to Aido Rover's large-area outdoor and light off-road use case, but it remains under development and therefore lacks mature public operational performance data. As a result, Knightscope is more suitable for benchmarking patrol workflows, detection, incident handling, and reliability than for directly estimating Aido Rover's energy consumption or terrain-specific physical performance.</w:t>
      </w:r>
    </w:p>
    <w:p w14:paraId="77690952" w14:textId="77777777" w:rsidR="006C45E0" w:rsidRPr="002067AB" w:rsidRDefault="006C45E0" w:rsidP="006C45E0">
      <w:pPr>
        <w:spacing w:line="360" w:lineRule="auto"/>
        <w:jc w:val="left"/>
        <w:rPr>
          <w:rFonts w:ascii="Times New Roman" w:hAnsi="Times New Roman" w:cs="Times New Roman"/>
          <w:sz w:val="22"/>
        </w:rPr>
      </w:pPr>
    </w:p>
    <w:p w14:paraId="28B5E5E7" w14:textId="5FBEC3ED" w:rsidR="00052EE4" w:rsidRPr="006C45E0" w:rsidRDefault="00052EE4" w:rsidP="002067AB">
      <w:pPr>
        <w:jc w:val="left"/>
        <w:rPr>
          <w:rFonts w:ascii="Times New Roman" w:hAnsi="Times New Roman" w:cs="Times New Roman"/>
          <w:b/>
          <w:bCs/>
          <w:sz w:val="24"/>
          <w:szCs w:val="24"/>
        </w:rPr>
      </w:pPr>
      <w:r w:rsidRPr="006C45E0">
        <w:rPr>
          <w:rFonts w:ascii="Times New Roman" w:hAnsi="Times New Roman" w:cs="Times New Roman"/>
          <w:b/>
          <w:bCs/>
          <w:sz w:val="24"/>
          <w:szCs w:val="24"/>
        </w:rPr>
        <w:t>Primary Data Quality Challenge</w:t>
      </w:r>
    </w:p>
    <w:p w14:paraId="09D30447" w14:textId="7FA5A9C7" w:rsidR="00052EE4" w:rsidRDefault="00052EE4" w:rsidP="002067AB">
      <w:pPr>
        <w:jc w:val="left"/>
        <w:rPr>
          <w:rFonts w:ascii="Times New Roman" w:hAnsi="Times New Roman" w:cs="Times New Roman"/>
          <w:sz w:val="22"/>
        </w:rPr>
      </w:pPr>
      <w:r w:rsidRPr="006C45E0">
        <w:rPr>
          <w:rFonts w:ascii="Times New Roman" w:hAnsi="Times New Roman" w:cs="Times New Roman"/>
          <w:sz w:val="22"/>
        </w:rPr>
        <w:t>The primary data quality challenge is selection bias in incident and detection records.</w:t>
      </w:r>
      <w:r w:rsidRPr="002067AB">
        <w:rPr>
          <w:rFonts w:ascii="Times New Roman" w:hAnsi="Times New Roman" w:cs="Times New Roman"/>
          <w:sz w:val="22"/>
        </w:rPr>
        <w:t xml:space="preserve"> Security-event datasets are naturally concentrated on events that trigger an alert or are identified as potentially significant, while routine patrol periods with no detected incidents may generate much less labelled event data. As a result, an incident dataset may overrepresent abnormal or suspicious situations and underrepresent normal operating conditions. This could bias estimates of detection performance, false alarm rates, and incident frequency if the denominator of routine patrol activity is not properly captured.</w:t>
      </w:r>
    </w:p>
    <w:p w14:paraId="52542ACB" w14:textId="77777777" w:rsidR="006C45E0" w:rsidRPr="002067AB" w:rsidRDefault="006C45E0" w:rsidP="002067AB">
      <w:pPr>
        <w:jc w:val="left"/>
        <w:rPr>
          <w:rFonts w:ascii="Times New Roman" w:hAnsi="Times New Roman" w:cs="Times New Roman"/>
          <w:sz w:val="22"/>
        </w:rPr>
      </w:pPr>
    </w:p>
    <w:p w14:paraId="57D3CAA9" w14:textId="7B55DECD" w:rsidR="00052EE4" w:rsidRDefault="00052EE4" w:rsidP="002067AB">
      <w:pPr>
        <w:jc w:val="left"/>
        <w:rPr>
          <w:rFonts w:ascii="Times New Roman" w:hAnsi="Times New Roman" w:cs="Times New Roman"/>
          <w:sz w:val="22"/>
        </w:rPr>
      </w:pPr>
      <w:r w:rsidRPr="002067AB">
        <w:rPr>
          <w:rFonts w:ascii="Times New Roman" w:hAnsi="Times New Roman" w:cs="Times New Roman"/>
          <w:sz w:val="22"/>
        </w:rPr>
        <w:t>A secondary limitation is platform maturity. Aido Rover is still in development, and many published capabilities and specifications are engineering design targets rather than commercially validated operating results. Therefore, the final production data structure and performance distributions may differ from the current design assumptions.</w:t>
      </w:r>
    </w:p>
    <w:p w14:paraId="01FFA4E0" w14:textId="77777777" w:rsidR="006C45E0" w:rsidRPr="002067AB" w:rsidRDefault="006C45E0" w:rsidP="002067AB">
      <w:pPr>
        <w:jc w:val="left"/>
        <w:rPr>
          <w:rFonts w:ascii="Times New Roman" w:hAnsi="Times New Roman" w:cs="Times New Roman"/>
          <w:sz w:val="22"/>
        </w:rPr>
      </w:pPr>
    </w:p>
    <w:p w14:paraId="1DFE269C" w14:textId="0836D89F" w:rsidR="006C45E0" w:rsidRDefault="006C45E0" w:rsidP="002067AB">
      <w:pPr>
        <w:jc w:val="left"/>
        <w:rPr>
          <w:rFonts w:ascii="Times New Roman" w:hAnsi="Times New Roman" w:cs="Times New Roman"/>
          <w:sz w:val="22"/>
        </w:rPr>
      </w:pPr>
      <w:r w:rsidRPr="002067AB">
        <w:rPr>
          <w:rFonts w:ascii="Times New Roman" w:hAnsi="Times New Roman" w:cs="Times New Roman"/>
          <w:b/>
          <w:bCs/>
          <w:sz w:val="22"/>
        </w:rPr>
        <w:t>Sources:</w:t>
      </w:r>
      <w:r w:rsidRPr="002067AB">
        <w:rPr>
          <w:rFonts w:ascii="Times New Roman" w:hAnsi="Times New Roman" w:cs="Times New Roman"/>
          <w:sz w:val="22"/>
        </w:rPr>
        <w:t xml:space="preserve"> </w:t>
      </w:r>
      <w:r w:rsidRPr="006C45E0">
        <w:rPr>
          <w:rFonts w:ascii="Times New Roman" w:hAnsi="Times New Roman" w:cs="Times New Roman"/>
          <w:sz w:val="22"/>
        </w:rPr>
        <w:t>InGen Dynamics, “Aido Rover,” official product website; Knightscope, Inc., 2025 Form 10-K, Q2 2026 Form 10-Q, and Q2 2026 Investor Presentation. Accessed September 9, 2026.</w:t>
      </w:r>
    </w:p>
    <w:p w14:paraId="0507F30A" w14:textId="77777777" w:rsidR="006C45E0" w:rsidRPr="002067AB" w:rsidRDefault="006C45E0" w:rsidP="002067AB">
      <w:pPr>
        <w:jc w:val="left"/>
        <w:rPr>
          <w:rFonts w:ascii="Times New Roman" w:hAnsi="Times New Roman" w:cs="Times New Roman"/>
          <w:sz w:val="22"/>
        </w:rPr>
      </w:pPr>
    </w:p>
    <w:p w14:paraId="1ECE8DA4" w14:textId="16735E84" w:rsidR="00E61328" w:rsidRPr="00C26132" w:rsidRDefault="00E61328" w:rsidP="002067AB">
      <w:pPr>
        <w:jc w:val="left"/>
        <w:rPr>
          <w:rFonts w:ascii="Times New Roman" w:hAnsi="Times New Roman" w:cs="Times New Roman"/>
          <w:b/>
          <w:bCs/>
          <w:sz w:val="28"/>
          <w:szCs w:val="28"/>
        </w:rPr>
      </w:pPr>
      <w:r w:rsidRPr="00C26132">
        <w:rPr>
          <w:rFonts w:ascii="Times New Roman" w:hAnsi="Times New Roman" w:cs="Times New Roman"/>
          <w:b/>
          <w:bCs/>
          <w:sz w:val="28"/>
          <w:szCs w:val="28"/>
        </w:rPr>
        <w:t>Fari</w:t>
      </w:r>
    </w:p>
    <w:p w14:paraId="37BC43E9" w14:textId="1A8E82BE" w:rsidR="00E61328" w:rsidRPr="00C26132" w:rsidRDefault="00E61328" w:rsidP="002067AB">
      <w:pPr>
        <w:jc w:val="left"/>
        <w:rPr>
          <w:rFonts w:ascii="Times New Roman" w:hAnsi="Times New Roman" w:cs="Times New Roman"/>
          <w:b/>
          <w:bCs/>
          <w:sz w:val="24"/>
          <w:szCs w:val="24"/>
        </w:rPr>
      </w:pPr>
      <w:r w:rsidRPr="00C26132">
        <w:rPr>
          <w:rFonts w:ascii="Times New Roman" w:hAnsi="Times New Roman" w:cs="Times New Roman"/>
          <w:b/>
          <w:bCs/>
          <w:sz w:val="24"/>
          <w:szCs w:val="24"/>
        </w:rPr>
        <w:t>Primary Data Types</w:t>
      </w:r>
    </w:p>
    <w:p w14:paraId="0C5BF558" w14:textId="77777777" w:rsidR="00E61328" w:rsidRDefault="00E61328" w:rsidP="002067AB">
      <w:pPr>
        <w:jc w:val="left"/>
        <w:rPr>
          <w:rFonts w:ascii="Times New Roman" w:hAnsi="Times New Roman" w:cs="Times New Roman"/>
          <w:sz w:val="22"/>
        </w:rPr>
      </w:pPr>
      <w:r w:rsidRPr="002067AB">
        <w:rPr>
          <w:rFonts w:ascii="Times New Roman" w:hAnsi="Times New Roman" w:cs="Times New Roman"/>
          <w:sz w:val="22"/>
        </w:rPr>
        <w:t>Fari is designed to generate and process multimodal sensor, interaction, operational, and event data across health monitoring, emotional wellbeing, safety, and mobility functions. Sensor data includes physiological measurements such as heart rate, SpO₂, respiratory rate, skin temperature, and estimated blood pressure, as well as visual, acoustic, spatial, environmental, mobility, and power signals from its 14-sensor architecture.</w:t>
      </w:r>
    </w:p>
    <w:p w14:paraId="4A0D4E4D" w14:textId="77777777" w:rsidR="00C26132" w:rsidRPr="002067AB" w:rsidRDefault="00C26132" w:rsidP="002067AB">
      <w:pPr>
        <w:jc w:val="left"/>
        <w:rPr>
          <w:rFonts w:ascii="Times New Roman" w:hAnsi="Times New Roman" w:cs="Times New Roman"/>
          <w:sz w:val="22"/>
        </w:rPr>
      </w:pPr>
    </w:p>
    <w:p w14:paraId="3EDFFB39" w14:textId="77777777" w:rsidR="00E61328" w:rsidRDefault="00E61328" w:rsidP="002067AB">
      <w:pPr>
        <w:jc w:val="left"/>
        <w:rPr>
          <w:rFonts w:ascii="Times New Roman" w:hAnsi="Times New Roman" w:cs="Times New Roman"/>
          <w:sz w:val="22"/>
        </w:rPr>
      </w:pPr>
      <w:r w:rsidRPr="002067AB">
        <w:rPr>
          <w:rFonts w:ascii="Times New Roman" w:hAnsi="Times New Roman" w:cs="Times New Roman"/>
          <w:sz w:val="22"/>
        </w:rPr>
        <w:t xml:space="preserve">Interaction data may be generated through natural-language conversations, voice and touchscreen interactions, medication reminders, video calls, and personalised companion </w:t>
      </w:r>
      <w:r w:rsidRPr="002067AB">
        <w:rPr>
          <w:rFonts w:ascii="Times New Roman" w:hAnsi="Times New Roman" w:cs="Times New Roman"/>
          <w:sz w:val="22"/>
        </w:rPr>
        <w:lastRenderedPageBreak/>
        <w:t>sessions. These interactions may also involve resident preferences, conversation topics, emotional-state estimates, and interaction timing. Because Fari follows an edge-first privacy architecture, raw biometric and camera data are intended to be processed locally rather than routinely transmitted to the cloud.</w:t>
      </w:r>
    </w:p>
    <w:p w14:paraId="6308D0A5" w14:textId="77777777" w:rsidR="00C26132" w:rsidRPr="002067AB" w:rsidRDefault="00C26132" w:rsidP="002067AB">
      <w:pPr>
        <w:jc w:val="left"/>
        <w:rPr>
          <w:rFonts w:ascii="Times New Roman" w:hAnsi="Times New Roman" w:cs="Times New Roman"/>
          <w:sz w:val="22"/>
        </w:rPr>
      </w:pPr>
    </w:p>
    <w:p w14:paraId="31B593C6" w14:textId="77777777" w:rsidR="00E61328" w:rsidRDefault="00E61328" w:rsidP="002067AB">
      <w:pPr>
        <w:jc w:val="left"/>
        <w:rPr>
          <w:rFonts w:ascii="Times New Roman" w:hAnsi="Times New Roman" w:cs="Times New Roman"/>
          <w:sz w:val="22"/>
        </w:rPr>
      </w:pPr>
      <w:r w:rsidRPr="002067AB">
        <w:rPr>
          <w:rFonts w:ascii="Times New Roman" w:hAnsi="Times New Roman" w:cs="Times New Roman"/>
          <w:sz w:val="22"/>
        </w:rPr>
        <w:t>Operational data can include battery and charging status, autonomous docking and navigation records, scheduled room visits, connectivity status, EHR synchronisation events, API activity, notification latency, model-confidence outputs, and AI decision audit logs. Event data includes falls, wandering, abnormal vital trends, missed medications, emergency conditions, caregiver notifications, sensor failures, and other safety-related alerts. Fari's alert architecture further classifies events into urgent, warning, and informational tiers.</w:t>
      </w:r>
    </w:p>
    <w:p w14:paraId="006ED233" w14:textId="77777777" w:rsidR="00C26132" w:rsidRPr="002067AB" w:rsidRDefault="00C26132" w:rsidP="002067AB">
      <w:pPr>
        <w:jc w:val="left"/>
        <w:rPr>
          <w:rFonts w:ascii="Times New Roman" w:hAnsi="Times New Roman" w:cs="Times New Roman"/>
          <w:sz w:val="22"/>
        </w:rPr>
      </w:pPr>
    </w:p>
    <w:p w14:paraId="4030F7B4" w14:textId="77777777" w:rsidR="00BB0DDB" w:rsidRPr="00C26132" w:rsidRDefault="00BB0DDB" w:rsidP="002067AB">
      <w:pPr>
        <w:jc w:val="left"/>
        <w:rPr>
          <w:rFonts w:ascii="Times New Roman" w:hAnsi="Times New Roman" w:cs="Times New Roman"/>
          <w:b/>
          <w:bCs/>
          <w:sz w:val="24"/>
          <w:szCs w:val="24"/>
        </w:rPr>
      </w:pPr>
      <w:r w:rsidRPr="00C26132">
        <w:rPr>
          <w:rFonts w:ascii="Times New Roman" w:hAnsi="Times New Roman" w:cs="Times New Roman"/>
          <w:b/>
          <w:bCs/>
          <w:sz w:val="24"/>
          <w:szCs w:val="24"/>
        </w:rPr>
        <w:t>Five Analytical Question</w:t>
      </w:r>
    </w:p>
    <w:p w14:paraId="2501FC96" w14:textId="59B0436F" w:rsidR="00E61328" w:rsidRPr="002067AB" w:rsidRDefault="00BB0DDB" w:rsidP="002067AB">
      <w:pPr>
        <w:pStyle w:val="a9"/>
        <w:numPr>
          <w:ilvl w:val="0"/>
          <w:numId w:val="2"/>
        </w:numPr>
        <w:jc w:val="left"/>
        <w:rPr>
          <w:rFonts w:ascii="Times New Roman" w:hAnsi="Times New Roman" w:cs="Times New Roman"/>
          <w:sz w:val="22"/>
        </w:rPr>
      </w:pPr>
      <w:r w:rsidRPr="002067AB">
        <w:rPr>
          <w:rFonts w:ascii="Times New Roman" w:hAnsi="Times New Roman" w:cs="Times New Roman"/>
          <w:sz w:val="22"/>
        </w:rPr>
        <w:t>Which vital-sign deviations from a resident’s personal baseline are most frequently associated with warning or urgent alerts?</w:t>
      </w:r>
    </w:p>
    <w:p w14:paraId="37D876F5" w14:textId="791A5648" w:rsidR="00BB0DDB" w:rsidRPr="002067AB" w:rsidRDefault="00BB0DDB" w:rsidP="002067AB">
      <w:pPr>
        <w:pStyle w:val="a9"/>
        <w:numPr>
          <w:ilvl w:val="0"/>
          <w:numId w:val="2"/>
        </w:numPr>
        <w:jc w:val="left"/>
        <w:rPr>
          <w:rFonts w:ascii="Times New Roman" w:hAnsi="Times New Roman" w:cs="Times New Roman"/>
          <w:sz w:val="22"/>
        </w:rPr>
      </w:pPr>
      <w:r w:rsidRPr="002067AB">
        <w:rPr>
          <w:rFonts w:ascii="Times New Roman" w:hAnsi="Times New Roman" w:cs="Times New Roman"/>
          <w:sz w:val="22"/>
        </w:rPr>
        <w:t>How do estimated emotional states and conversation sentiment change across interaction sessions, topics, and times of day?</w:t>
      </w:r>
    </w:p>
    <w:p w14:paraId="7EEA9D33" w14:textId="19FC99D5" w:rsidR="00BB0DDB" w:rsidRPr="002067AB" w:rsidRDefault="00BB0DDB" w:rsidP="002067AB">
      <w:pPr>
        <w:pStyle w:val="a9"/>
        <w:numPr>
          <w:ilvl w:val="0"/>
          <w:numId w:val="2"/>
        </w:numPr>
        <w:jc w:val="left"/>
        <w:rPr>
          <w:rFonts w:ascii="Times New Roman" w:hAnsi="Times New Roman" w:cs="Times New Roman"/>
          <w:sz w:val="22"/>
        </w:rPr>
      </w:pPr>
      <w:r w:rsidRPr="002067AB">
        <w:rPr>
          <w:rFonts w:ascii="Times New Roman" w:hAnsi="Times New Roman" w:cs="Times New Roman"/>
          <w:sz w:val="22"/>
        </w:rPr>
        <w:t>What is the medication reminder completion rate, and how does it vary by time of day, reminder type, and escalation level?</w:t>
      </w:r>
    </w:p>
    <w:p w14:paraId="0E7C63E4" w14:textId="021D285E" w:rsidR="00BB0DDB" w:rsidRPr="002067AB" w:rsidRDefault="00BB0DDB" w:rsidP="002067AB">
      <w:pPr>
        <w:pStyle w:val="a9"/>
        <w:numPr>
          <w:ilvl w:val="0"/>
          <w:numId w:val="2"/>
        </w:numPr>
        <w:jc w:val="left"/>
        <w:rPr>
          <w:rFonts w:ascii="Times New Roman" w:hAnsi="Times New Roman" w:cs="Times New Roman"/>
          <w:sz w:val="22"/>
        </w:rPr>
      </w:pPr>
      <w:r w:rsidRPr="002067AB">
        <w:rPr>
          <w:rFonts w:ascii="Times New Roman" w:hAnsi="Times New Roman" w:cs="Times New Roman"/>
          <w:sz w:val="22"/>
        </w:rPr>
        <w:t>What proportion of urgent safety alerts meets the target detection-to-notification latency, and under what conditions does alert latency increase?</w:t>
      </w:r>
    </w:p>
    <w:p w14:paraId="720C4D88" w14:textId="0AA8C02D" w:rsidR="00BB0DDB" w:rsidRPr="002067AB" w:rsidRDefault="00BB0DDB" w:rsidP="002067AB">
      <w:pPr>
        <w:pStyle w:val="a9"/>
        <w:numPr>
          <w:ilvl w:val="0"/>
          <w:numId w:val="2"/>
        </w:numPr>
        <w:jc w:val="left"/>
        <w:rPr>
          <w:rFonts w:ascii="Times New Roman" w:hAnsi="Times New Roman" w:cs="Times New Roman"/>
          <w:sz w:val="22"/>
        </w:rPr>
      </w:pPr>
      <w:r w:rsidRPr="002067AB">
        <w:rPr>
          <w:rFonts w:ascii="Times New Roman" w:hAnsi="Times New Roman" w:cs="Times New Roman"/>
          <w:sz w:val="22"/>
        </w:rPr>
        <w:t>How do caregiver notification and follow-up times vary across urgent, warning, and informational events?</w:t>
      </w:r>
    </w:p>
    <w:p w14:paraId="5371215D" w14:textId="77777777" w:rsidR="009E2914" w:rsidRPr="002067AB" w:rsidRDefault="009E2914" w:rsidP="002067AB">
      <w:pPr>
        <w:jc w:val="left"/>
        <w:rPr>
          <w:rFonts w:ascii="Times New Roman" w:hAnsi="Times New Roman" w:cs="Times New Roman"/>
          <w:sz w:val="22"/>
        </w:rPr>
      </w:pPr>
    </w:p>
    <w:p w14:paraId="726EE8FD" w14:textId="03A7113C" w:rsidR="009E2914" w:rsidRPr="002067AB" w:rsidRDefault="009E2914" w:rsidP="002067AB">
      <w:pPr>
        <w:jc w:val="left"/>
        <w:rPr>
          <w:rFonts w:ascii="Times New Roman" w:hAnsi="Times New Roman" w:cs="Times New Roman"/>
          <w:sz w:val="22"/>
        </w:rPr>
      </w:pPr>
      <w:r w:rsidRPr="00C26132">
        <w:rPr>
          <w:rFonts w:ascii="Times New Roman" w:hAnsi="Times New Roman" w:cs="Times New Roman"/>
          <w:b/>
          <w:bCs/>
          <w:sz w:val="24"/>
          <w:szCs w:val="24"/>
        </w:rPr>
        <w:t>Public Proxy Data</w:t>
      </w:r>
    </w:p>
    <w:p w14:paraId="28244103" w14:textId="77777777" w:rsidR="009E2914" w:rsidRPr="002067AB" w:rsidRDefault="009E2914" w:rsidP="002067AB">
      <w:pPr>
        <w:jc w:val="left"/>
        <w:rPr>
          <w:rFonts w:ascii="Times New Roman" w:hAnsi="Times New Roman" w:cs="Times New Roman"/>
          <w:sz w:val="22"/>
        </w:rPr>
      </w:pPr>
      <w:r w:rsidRPr="00C26132">
        <w:rPr>
          <w:rFonts w:ascii="Times New Roman" w:hAnsi="Times New Roman" w:cs="Times New Roman"/>
          <w:sz w:val="22"/>
        </w:rPr>
        <w:t>AARP's Tech Trends and Adults 50-Plus survey series is used as the primary public adoption proxy for Fari.</w:t>
      </w:r>
      <w:r w:rsidRPr="002067AB">
        <w:rPr>
          <w:rFonts w:ascii="Times New Roman" w:hAnsi="Times New Roman" w:cs="Times New Roman"/>
          <w:sz w:val="22"/>
        </w:rPr>
        <w:t xml:space="preserve"> The survey provides national evidence on older adults' use of and interest in AI-enabled health monitoring, voice assistants, digital health tools, home safety technologies, and caregiver-support technologies. It also identifies important adoption barriers, including privacy, trust, usability, and perceived value. These measures are relevant for assessing the likely acceptance and adoption environment for an eldercare companion platform such as Fari.</w:t>
      </w:r>
    </w:p>
    <w:p w14:paraId="11DEC717" w14:textId="77777777" w:rsidR="009E2914" w:rsidRPr="002067AB" w:rsidRDefault="009E2914" w:rsidP="002067AB">
      <w:pPr>
        <w:jc w:val="left"/>
        <w:rPr>
          <w:rFonts w:ascii="Times New Roman" w:hAnsi="Times New Roman" w:cs="Times New Roman"/>
          <w:sz w:val="22"/>
        </w:rPr>
      </w:pPr>
      <w:r w:rsidRPr="002067AB">
        <w:rPr>
          <w:rFonts w:ascii="Times New Roman" w:hAnsi="Times New Roman" w:cs="Times New Roman"/>
          <w:sz w:val="22"/>
        </w:rPr>
        <w:t xml:space="preserve">However, AARP survey data does not provide robot-level operational records such as conversation duration, fall-detection performance, medication adherence, alert latency, or caregiver response times. Therefore, it should be treated as an </w:t>
      </w:r>
      <w:r w:rsidRPr="00C26132">
        <w:rPr>
          <w:rFonts w:ascii="Times New Roman" w:hAnsi="Times New Roman" w:cs="Times New Roman"/>
          <w:sz w:val="22"/>
        </w:rPr>
        <w:t>adoption and market-acceptance proxy rather than a direct operational-performance proxy</w:t>
      </w:r>
      <w:r w:rsidRPr="002067AB">
        <w:rPr>
          <w:rFonts w:ascii="Times New Roman" w:hAnsi="Times New Roman" w:cs="Times New Roman"/>
          <w:sz w:val="22"/>
        </w:rPr>
        <w:t>. Later operational analyses will require clearly labelled simulated data, while public text from comparable companion-AI products can support the later NLP analysis.</w:t>
      </w:r>
    </w:p>
    <w:p w14:paraId="29B94F23" w14:textId="77777777" w:rsidR="009E2914" w:rsidRPr="002067AB" w:rsidRDefault="009E2914" w:rsidP="002067AB">
      <w:pPr>
        <w:jc w:val="left"/>
        <w:rPr>
          <w:rFonts w:ascii="Times New Roman" w:hAnsi="Times New Roman" w:cs="Times New Roman"/>
          <w:sz w:val="22"/>
        </w:rPr>
      </w:pPr>
    </w:p>
    <w:p w14:paraId="12F624B2" w14:textId="186AA3B9" w:rsidR="009E2914" w:rsidRPr="00C26132" w:rsidRDefault="009E2914" w:rsidP="002067AB">
      <w:pPr>
        <w:jc w:val="left"/>
        <w:rPr>
          <w:rFonts w:ascii="Times New Roman" w:hAnsi="Times New Roman" w:cs="Times New Roman"/>
          <w:b/>
          <w:bCs/>
          <w:sz w:val="24"/>
          <w:szCs w:val="24"/>
        </w:rPr>
      </w:pPr>
      <w:r w:rsidRPr="00C26132">
        <w:rPr>
          <w:rFonts w:ascii="Times New Roman" w:hAnsi="Times New Roman" w:cs="Times New Roman"/>
          <w:b/>
          <w:bCs/>
          <w:sz w:val="24"/>
          <w:szCs w:val="24"/>
        </w:rPr>
        <w:t>Primary Data Quality Challenge</w:t>
      </w:r>
    </w:p>
    <w:p w14:paraId="10E93EBB" w14:textId="6D31B8FA" w:rsidR="009E2914" w:rsidRDefault="009E2914" w:rsidP="002067AB">
      <w:pPr>
        <w:jc w:val="left"/>
        <w:rPr>
          <w:rFonts w:ascii="Times New Roman" w:hAnsi="Times New Roman" w:cs="Times New Roman"/>
          <w:sz w:val="22"/>
        </w:rPr>
      </w:pPr>
      <w:r w:rsidRPr="00C26132">
        <w:rPr>
          <w:rFonts w:ascii="Times New Roman" w:hAnsi="Times New Roman" w:cs="Times New Roman"/>
          <w:sz w:val="22"/>
        </w:rPr>
        <w:t xml:space="preserve">The primary data quality challenge is source heterogeneity and label noise in public text about eldercare companion AI. </w:t>
      </w:r>
      <w:r w:rsidRPr="002067AB">
        <w:rPr>
          <w:rFonts w:ascii="Times New Roman" w:hAnsi="Times New Roman" w:cs="Times New Roman"/>
          <w:sz w:val="22"/>
        </w:rPr>
        <w:t xml:space="preserve">Public discussions may mix genuine user experiences with company marketing materials, press coverage, and general commentary about AI or eldercare technology. These sources differ substantially in purpose, tone, and level of direct product experience. As a result, sentiment or topic labels derived from the combined corpus may not </w:t>
      </w:r>
      <w:r w:rsidRPr="002067AB">
        <w:rPr>
          <w:rFonts w:ascii="Times New Roman" w:hAnsi="Times New Roman" w:cs="Times New Roman"/>
          <w:sz w:val="22"/>
        </w:rPr>
        <w:lastRenderedPageBreak/>
        <w:t>represent actual user experience consistently, and marketing or journalistic language may bias the analysis if source type is not identified and controlled.</w:t>
      </w:r>
    </w:p>
    <w:p w14:paraId="3D153777" w14:textId="77777777" w:rsidR="00C26132" w:rsidRPr="002067AB" w:rsidRDefault="00C26132" w:rsidP="002067AB">
      <w:pPr>
        <w:jc w:val="left"/>
        <w:rPr>
          <w:rFonts w:ascii="Times New Roman" w:hAnsi="Times New Roman" w:cs="Times New Roman"/>
          <w:sz w:val="22"/>
        </w:rPr>
      </w:pPr>
    </w:p>
    <w:p w14:paraId="7E31BEDD" w14:textId="42FEAC66" w:rsidR="009E2914" w:rsidRPr="002067AB" w:rsidRDefault="009E2914" w:rsidP="002067AB">
      <w:pPr>
        <w:jc w:val="left"/>
        <w:rPr>
          <w:rFonts w:ascii="Times New Roman" w:hAnsi="Times New Roman" w:cs="Times New Roman"/>
          <w:sz w:val="22"/>
        </w:rPr>
      </w:pPr>
      <w:r w:rsidRPr="002067AB">
        <w:rPr>
          <w:rFonts w:ascii="Times New Roman" w:hAnsi="Times New Roman" w:cs="Times New Roman"/>
          <w:sz w:val="22"/>
        </w:rPr>
        <w:t>A secondary challenge is missing or incomplete multimodal data. Fari relies on physiological, visual, acoustic, interaction, and mobility signals, so sensor dropout, skipped interactions, or privacy-driven data minimisation may leave some sessions only partially observed. In addition, Fari remains in active development, so current data structures and performance targets may change before commercial deployment.</w:t>
      </w:r>
    </w:p>
    <w:p w14:paraId="061E44A3" w14:textId="77777777" w:rsidR="005D2134" w:rsidRDefault="005D2134" w:rsidP="002067AB">
      <w:pPr>
        <w:jc w:val="left"/>
        <w:rPr>
          <w:rFonts w:ascii="Times New Roman" w:hAnsi="Times New Roman" w:cs="Times New Roman"/>
          <w:sz w:val="22"/>
        </w:rPr>
      </w:pPr>
    </w:p>
    <w:p w14:paraId="68062B6A" w14:textId="4D1E811D" w:rsidR="00C26132" w:rsidRDefault="00D93363" w:rsidP="002067AB">
      <w:pPr>
        <w:jc w:val="left"/>
        <w:rPr>
          <w:rFonts w:ascii="Times New Roman" w:hAnsi="Times New Roman" w:cs="Times New Roman"/>
          <w:sz w:val="22"/>
        </w:rPr>
      </w:pPr>
      <w:r w:rsidRPr="00D93363">
        <w:rPr>
          <w:rFonts w:ascii="Times New Roman" w:hAnsi="Times New Roman" w:cs="Times New Roman"/>
          <w:sz w:val="22"/>
        </w:rPr>
        <w:t>Sources: InGen Dynamics, “Fari,” official product website; AARP Research, 2026 Tech Trends and Adults 50-Plus. Accessed September 2026.</w:t>
      </w:r>
    </w:p>
    <w:p w14:paraId="506976DD" w14:textId="77777777" w:rsidR="00D93363" w:rsidRPr="002067AB" w:rsidRDefault="00D93363" w:rsidP="002067AB">
      <w:pPr>
        <w:jc w:val="left"/>
        <w:rPr>
          <w:rFonts w:ascii="Times New Roman" w:hAnsi="Times New Roman" w:cs="Times New Roman"/>
          <w:sz w:val="22"/>
        </w:rPr>
      </w:pPr>
    </w:p>
    <w:p w14:paraId="5E3E463F" w14:textId="087B604F" w:rsidR="005D2134" w:rsidRPr="00C26132" w:rsidRDefault="005D2134" w:rsidP="002067AB">
      <w:pPr>
        <w:jc w:val="left"/>
        <w:rPr>
          <w:rFonts w:ascii="Times New Roman" w:hAnsi="Times New Roman" w:cs="Times New Roman"/>
          <w:b/>
          <w:bCs/>
          <w:sz w:val="28"/>
          <w:szCs w:val="28"/>
        </w:rPr>
      </w:pPr>
      <w:r w:rsidRPr="00C26132">
        <w:rPr>
          <w:rFonts w:ascii="Times New Roman" w:hAnsi="Times New Roman" w:cs="Times New Roman"/>
          <w:b/>
          <w:bCs/>
          <w:sz w:val="28"/>
          <w:szCs w:val="28"/>
        </w:rPr>
        <w:t>Sentinel Prime AI</w:t>
      </w:r>
    </w:p>
    <w:p w14:paraId="277851C5" w14:textId="7AB00746" w:rsidR="005D2134" w:rsidRPr="00C26132" w:rsidRDefault="005D2134" w:rsidP="002067AB">
      <w:pPr>
        <w:jc w:val="left"/>
        <w:rPr>
          <w:rFonts w:ascii="Times New Roman" w:hAnsi="Times New Roman" w:cs="Times New Roman"/>
          <w:b/>
          <w:bCs/>
          <w:sz w:val="24"/>
          <w:szCs w:val="24"/>
        </w:rPr>
      </w:pPr>
      <w:r w:rsidRPr="00C26132">
        <w:rPr>
          <w:rFonts w:ascii="Times New Roman" w:hAnsi="Times New Roman" w:cs="Times New Roman"/>
          <w:b/>
          <w:bCs/>
          <w:sz w:val="24"/>
          <w:szCs w:val="24"/>
        </w:rPr>
        <w:t>Primary Data Types</w:t>
      </w:r>
    </w:p>
    <w:p w14:paraId="2A01EDD9" w14:textId="77777777" w:rsidR="005D2134" w:rsidRDefault="005D2134" w:rsidP="002067AB">
      <w:pPr>
        <w:jc w:val="left"/>
        <w:rPr>
          <w:rFonts w:ascii="Times New Roman" w:hAnsi="Times New Roman" w:cs="Times New Roman"/>
          <w:sz w:val="22"/>
        </w:rPr>
      </w:pPr>
      <w:r w:rsidRPr="002067AB">
        <w:rPr>
          <w:rFonts w:ascii="Times New Roman" w:hAnsi="Times New Roman" w:cs="Times New Roman"/>
          <w:sz w:val="22"/>
        </w:rPr>
        <w:t>Sentinel Prime AI is designed to generate and process multimodal sensor, detection-event, operational, and operator-interaction data for enterprise physical-security monitoring. Its sensor architecture combines RGB video, thermal imaging, LiDAR, mmWave radar, acoustic signals, environmental measurements, infrared illumination, and vibration sensing. In the mobile configuration, these inputs can also be combined with GPS-based patrol and waypoint data.</w:t>
      </w:r>
    </w:p>
    <w:p w14:paraId="5740F2A2" w14:textId="77777777" w:rsidR="00D93363" w:rsidRPr="002067AB" w:rsidRDefault="00D93363" w:rsidP="002067AB">
      <w:pPr>
        <w:jc w:val="left"/>
        <w:rPr>
          <w:rFonts w:ascii="Times New Roman" w:hAnsi="Times New Roman" w:cs="Times New Roman"/>
          <w:sz w:val="22"/>
        </w:rPr>
      </w:pPr>
    </w:p>
    <w:p w14:paraId="270E6B62" w14:textId="77777777" w:rsidR="005D2134" w:rsidRDefault="005D2134" w:rsidP="002067AB">
      <w:pPr>
        <w:jc w:val="left"/>
        <w:rPr>
          <w:rFonts w:ascii="Times New Roman" w:hAnsi="Times New Roman" w:cs="Times New Roman"/>
          <w:sz w:val="22"/>
        </w:rPr>
      </w:pPr>
      <w:r w:rsidRPr="002067AB">
        <w:rPr>
          <w:rFonts w:ascii="Times New Roman" w:hAnsi="Times New Roman" w:cs="Times New Roman"/>
          <w:sz w:val="22"/>
        </w:rPr>
        <w:t>Event data is generated through the platform’s planned detection functions, including perimeter intrusion, weapons, aggression, suspicious behaviour, identity and vehicle recognition, fire and smoke, environmental hazards, abandoned objects, vehicle tracking, drone detection, scene changes, falls, occupancy, and queue activity. Detection records may include event type, location or zone, timestamp, confidence score, uncertainty value, evidence, and assigned alert tier.</w:t>
      </w:r>
    </w:p>
    <w:p w14:paraId="7BDB47AE" w14:textId="77777777" w:rsidR="00D93363" w:rsidRPr="002067AB" w:rsidRDefault="00D93363" w:rsidP="002067AB">
      <w:pPr>
        <w:jc w:val="left"/>
        <w:rPr>
          <w:rFonts w:ascii="Times New Roman" w:hAnsi="Times New Roman" w:cs="Times New Roman"/>
          <w:sz w:val="22"/>
        </w:rPr>
      </w:pPr>
    </w:p>
    <w:p w14:paraId="6F3A685D" w14:textId="77777777" w:rsidR="005D2134" w:rsidRDefault="005D2134" w:rsidP="002067AB">
      <w:pPr>
        <w:jc w:val="left"/>
        <w:rPr>
          <w:rFonts w:ascii="Times New Roman" w:hAnsi="Times New Roman" w:cs="Times New Roman"/>
          <w:sz w:val="22"/>
        </w:rPr>
      </w:pPr>
      <w:r w:rsidRPr="002067AB">
        <w:rPr>
          <w:rFonts w:ascii="Times New Roman" w:hAnsi="Times New Roman" w:cs="Times New Roman"/>
          <w:sz w:val="22"/>
        </w:rPr>
        <w:t>Operational data can include platform uptime, sensor and camera health, device status, firmware version, calibration age, connectivity status, inference latency, alert latency, fleet status, patrol routes, GPS tracks, system diagnostics, API activity, and cloud synchronisation events. The planned analytics interface also supports monitoring detection trends, false-alert rates, activity heatmaps, peak activity, and STUM calibration performance.</w:t>
      </w:r>
    </w:p>
    <w:p w14:paraId="5D1E83A3" w14:textId="77777777" w:rsidR="00D93363" w:rsidRPr="002067AB" w:rsidRDefault="00D93363" w:rsidP="002067AB">
      <w:pPr>
        <w:jc w:val="left"/>
        <w:rPr>
          <w:rFonts w:ascii="Times New Roman" w:hAnsi="Times New Roman" w:cs="Times New Roman"/>
          <w:sz w:val="22"/>
        </w:rPr>
      </w:pPr>
    </w:p>
    <w:p w14:paraId="2EC2A8DA" w14:textId="77777777" w:rsidR="005D2134" w:rsidRDefault="005D2134" w:rsidP="002067AB">
      <w:pPr>
        <w:jc w:val="left"/>
        <w:rPr>
          <w:rFonts w:ascii="Times New Roman" w:hAnsi="Times New Roman" w:cs="Times New Roman"/>
          <w:sz w:val="22"/>
        </w:rPr>
      </w:pPr>
      <w:r w:rsidRPr="002067AB">
        <w:rPr>
          <w:rFonts w:ascii="Times New Roman" w:hAnsi="Times New Roman" w:cs="Times New Roman"/>
          <w:sz w:val="22"/>
        </w:rPr>
        <w:t>Operator-interaction and audit data can include alert acknowledgement, review time, operator assessment, escalation decisions, dispatch actions, overrides, incident resolution, and evidence export activity. The system’s planned audit trail records information such as timestamps, confidence and uncertainty values, actions taken, and operator responses, enabling analysis of both AI performance and human response workflows.</w:t>
      </w:r>
    </w:p>
    <w:p w14:paraId="63F18CAD" w14:textId="77777777" w:rsidR="00D93363" w:rsidRPr="002067AB" w:rsidRDefault="00D93363" w:rsidP="002067AB">
      <w:pPr>
        <w:jc w:val="left"/>
        <w:rPr>
          <w:rFonts w:ascii="Times New Roman" w:hAnsi="Times New Roman" w:cs="Times New Roman"/>
          <w:sz w:val="22"/>
        </w:rPr>
      </w:pPr>
    </w:p>
    <w:p w14:paraId="7AC0CA50" w14:textId="511E5BF8" w:rsidR="00D93363" w:rsidRPr="002067AB" w:rsidRDefault="005D2134" w:rsidP="002067AB">
      <w:pPr>
        <w:jc w:val="left"/>
        <w:rPr>
          <w:rFonts w:ascii="Times New Roman" w:hAnsi="Times New Roman" w:cs="Times New Roman"/>
          <w:sz w:val="22"/>
        </w:rPr>
      </w:pPr>
      <w:r w:rsidRPr="002067AB">
        <w:rPr>
          <w:rFonts w:ascii="Times New Roman" w:hAnsi="Times New Roman" w:cs="Times New Roman"/>
          <w:sz w:val="22"/>
        </w:rPr>
        <w:t>As Sentinel Prime AI remains under active development, all published specifications, interface designs, and performance figures should be treated as design targets rather than validated production results.</w:t>
      </w:r>
    </w:p>
    <w:p w14:paraId="5EF8EE8D" w14:textId="77777777" w:rsidR="005D2134" w:rsidRPr="002067AB" w:rsidRDefault="005D2134" w:rsidP="002067AB">
      <w:pPr>
        <w:jc w:val="left"/>
        <w:rPr>
          <w:rFonts w:ascii="Times New Roman" w:hAnsi="Times New Roman" w:cs="Times New Roman"/>
          <w:sz w:val="22"/>
        </w:rPr>
      </w:pPr>
    </w:p>
    <w:p w14:paraId="71A08D21" w14:textId="625F8CEB" w:rsidR="005D2134" w:rsidRPr="00D93363" w:rsidRDefault="005D2134" w:rsidP="002067AB">
      <w:pPr>
        <w:jc w:val="left"/>
        <w:rPr>
          <w:rFonts w:ascii="Times New Roman" w:hAnsi="Times New Roman" w:cs="Times New Roman"/>
          <w:b/>
          <w:bCs/>
          <w:sz w:val="24"/>
          <w:szCs w:val="24"/>
        </w:rPr>
      </w:pPr>
      <w:r w:rsidRPr="00D93363">
        <w:rPr>
          <w:rFonts w:ascii="Times New Roman" w:hAnsi="Times New Roman" w:cs="Times New Roman"/>
          <w:b/>
          <w:bCs/>
          <w:sz w:val="24"/>
          <w:szCs w:val="24"/>
        </w:rPr>
        <w:t>Five Analytical Questions</w:t>
      </w:r>
    </w:p>
    <w:p w14:paraId="1D1DD717" w14:textId="4987B553" w:rsidR="005D2134" w:rsidRPr="00D93363" w:rsidRDefault="005D2134" w:rsidP="00D93363">
      <w:pPr>
        <w:pStyle w:val="a9"/>
        <w:numPr>
          <w:ilvl w:val="0"/>
          <w:numId w:val="5"/>
        </w:numPr>
        <w:jc w:val="left"/>
        <w:rPr>
          <w:rFonts w:ascii="Times New Roman" w:hAnsi="Times New Roman" w:cs="Times New Roman"/>
          <w:sz w:val="22"/>
        </w:rPr>
      </w:pPr>
      <w:r w:rsidRPr="00D93363">
        <w:rPr>
          <w:rFonts w:ascii="Times New Roman" w:hAnsi="Times New Roman" w:cs="Times New Roman"/>
          <w:sz w:val="22"/>
        </w:rPr>
        <w:t>How does incident detection performance vary across different event types, sensor modalities, and deployment environments?</w:t>
      </w:r>
    </w:p>
    <w:p w14:paraId="79AADC5A" w14:textId="73B2DEF7" w:rsidR="005D2134" w:rsidRPr="00D93363" w:rsidRDefault="005D2134" w:rsidP="00D93363">
      <w:pPr>
        <w:pStyle w:val="a9"/>
        <w:numPr>
          <w:ilvl w:val="0"/>
          <w:numId w:val="5"/>
        </w:numPr>
        <w:jc w:val="left"/>
        <w:rPr>
          <w:rFonts w:ascii="Times New Roman" w:hAnsi="Times New Roman" w:cs="Times New Roman"/>
          <w:sz w:val="22"/>
        </w:rPr>
      </w:pPr>
      <w:r w:rsidRPr="00D93363">
        <w:rPr>
          <w:rFonts w:ascii="Times New Roman" w:hAnsi="Times New Roman" w:cs="Times New Roman"/>
          <w:sz w:val="22"/>
        </w:rPr>
        <w:t>How does the false alert rate change across different STUM confidence or uncertainty thresholds, and what trade-off exists between reducing false alerts and suppressing valid detections?</w:t>
      </w:r>
    </w:p>
    <w:p w14:paraId="3AADA590" w14:textId="6A331CE2" w:rsidR="005D2134" w:rsidRPr="00D93363" w:rsidRDefault="005D2134" w:rsidP="00D93363">
      <w:pPr>
        <w:pStyle w:val="a9"/>
        <w:numPr>
          <w:ilvl w:val="0"/>
          <w:numId w:val="5"/>
        </w:numPr>
        <w:jc w:val="left"/>
        <w:rPr>
          <w:rFonts w:ascii="Times New Roman" w:hAnsi="Times New Roman" w:cs="Times New Roman"/>
          <w:sz w:val="22"/>
        </w:rPr>
      </w:pPr>
      <w:r w:rsidRPr="00D93363">
        <w:rPr>
          <w:rFonts w:ascii="Times New Roman" w:hAnsi="Times New Roman" w:cs="Times New Roman"/>
          <w:sz w:val="22"/>
        </w:rPr>
        <w:t>How does operator response time vary across urgent, warning, and informational alert tiers?</w:t>
      </w:r>
    </w:p>
    <w:p w14:paraId="52F88CF8" w14:textId="2F3BCB12" w:rsidR="005D2134" w:rsidRPr="00D93363" w:rsidRDefault="005D2134" w:rsidP="00D93363">
      <w:pPr>
        <w:pStyle w:val="a9"/>
        <w:numPr>
          <w:ilvl w:val="0"/>
          <w:numId w:val="5"/>
        </w:numPr>
        <w:jc w:val="left"/>
        <w:rPr>
          <w:rFonts w:ascii="Times New Roman" w:hAnsi="Times New Roman" w:cs="Times New Roman"/>
          <w:sz w:val="22"/>
        </w:rPr>
      </w:pPr>
      <w:r w:rsidRPr="00D93363">
        <w:rPr>
          <w:rFonts w:ascii="Times New Roman" w:hAnsi="Times New Roman" w:cs="Times New Roman"/>
          <w:sz w:val="22"/>
        </w:rPr>
        <w:t>How do platform uptime, camera-feed availability, and sensor health vary across deployment configurations and operating conditions?</w:t>
      </w:r>
    </w:p>
    <w:p w14:paraId="68612B2A" w14:textId="3B92C92D" w:rsidR="005D2134" w:rsidRPr="00D93363" w:rsidRDefault="005D2134" w:rsidP="00D93363">
      <w:pPr>
        <w:pStyle w:val="a9"/>
        <w:numPr>
          <w:ilvl w:val="0"/>
          <w:numId w:val="5"/>
        </w:numPr>
        <w:jc w:val="left"/>
        <w:rPr>
          <w:rFonts w:ascii="Times New Roman" w:hAnsi="Times New Roman" w:cs="Times New Roman"/>
          <w:sz w:val="22"/>
        </w:rPr>
      </w:pPr>
      <w:r w:rsidRPr="00D93363">
        <w:rPr>
          <w:rFonts w:ascii="Times New Roman" w:hAnsi="Times New Roman" w:cs="Times New Roman"/>
          <w:sz w:val="22"/>
        </w:rPr>
        <w:t>What proportion of security alerts are acknowledged, escalated, dispatched, or dismissed, and how do these outcomes vary by incident type and confidence score?</w:t>
      </w:r>
    </w:p>
    <w:p w14:paraId="599E7BA7" w14:textId="77777777" w:rsidR="00153AE2" w:rsidRPr="002067AB" w:rsidRDefault="00153AE2" w:rsidP="002067AB">
      <w:pPr>
        <w:jc w:val="left"/>
        <w:rPr>
          <w:rFonts w:ascii="Times New Roman" w:hAnsi="Times New Roman" w:cs="Times New Roman"/>
          <w:sz w:val="22"/>
        </w:rPr>
      </w:pPr>
    </w:p>
    <w:p w14:paraId="3B2696FA" w14:textId="245D8EA9" w:rsidR="00153AE2" w:rsidRPr="00D93363" w:rsidRDefault="00153AE2" w:rsidP="002067AB">
      <w:pPr>
        <w:jc w:val="left"/>
        <w:rPr>
          <w:rFonts w:ascii="Times New Roman" w:hAnsi="Times New Roman" w:cs="Times New Roman"/>
          <w:b/>
          <w:bCs/>
          <w:sz w:val="24"/>
          <w:szCs w:val="24"/>
        </w:rPr>
      </w:pPr>
      <w:r w:rsidRPr="00D93363">
        <w:rPr>
          <w:rFonts w:ascii="Times New Roman" w:hAnsi="Times New Roman" w:cs="Times New Roman"/>
          <w:b/>
          <w:bCs/>
          <w:sz w:val="24"/>
          <w:szCs w:val="24"/>
        </w:rPr>
        <w:t>Public Proxy Data</w:t>
      </w:r>
    </w:p>
    <w:p w14:paraId="13FF6FDA" w14:textId="77777777" w:rsidR="00153AE2" w:rsidRDefault="00153AE2" w:rsidP="002067AB">
      <w:pPr>
        <w:jc w:val="left"/>
        <w:rPr>
          <w:rFonts w:ascii="Times New Roman" w:hAnsi="Times New Roman" w:cs="Times New Roman"/>
          <w:sz w:val="22"/>
        </w:rPr>
      </w:pPr>
      <w:r w:rsidRPr="00D93363">
        <w:rPr>
          <w:rFonts w:ascii="Times New Roman" w:hAnsi="Times New Roman" w:cs="Times New Roman"/>
          <w:sz w:val="22"/>
        </w:rPr>
        <w:t>Knightscope, Inc. is used as the primary public operational proxy for Sentinel Prime AI.</w:t>
      </w:r>
      <w:r w:rsidRPr="002067AB">
        <w:rPr>
          <w:rFonts w:ascii="Times New Roman" w:hAnsi="Times New Roman" w:cs="Times New Roman"/>
          <w:sz w:val="22"/>
        </w:rPr>
        <w:t xml:space="preserve"> Knightscope provides publicly available information on autonomous security operations, alert review, incident documentation, operator workflows, and service-level reliability through its SEC filings and related public materials. These disclosures are useful for benchmarking the broader operational context in which Sentinel Prime AI would function, particularly security-event handling, alert management, human review, and system availability.</w:t>
      </w:r>
    </w:p>
    <w:p w14:paraId="047C4A7B" w14:textId="77777777" w:rsidR="00D93363" w:rsidRPr="002067AB" w:rsidRDefault="00D93363" w:rsidP="002067AB">
      <w:pPr>
        <w:jc w:val="left"/>
        <w:rPr>
          <w:rFonts w:ascii="Times New Roman" w:hAnsi="Times New Roman" w:cs="Times New Roman"/>
          <w:sz w:val="22"/>
        </w:rPr>
      </w:pPr>
    </w:p>
    <w:p w14:paraId="4972AEC0" w14:textId="77777777" w:rsidR="00153AE2" w:rsidRDefault="00153AE2" w:rsidP="002067AB">
      <w:pPr>
        <w:jc w:val="left"/>
        <w:rPr>
          <w:rFonts w:ascii="Times New Roman" w:hAnsi="Times New Roman" w:cs="Times New Roman"/>
          <w:sz w:val="22"/>
        </w:rPr>
      </w:pPr>
      <w:r w:rsidRPr="002067AB">
        <w:rPr>
          <w:rFonts w:ascii="Times New Roman" w:hAnsi="Times New Roman" w:cs="Times New Roman"/>
          <w:sz w:val="22"/>
        </w:rPr>
        <w:t>However, Knightscope is only a partial proxy for Sentinel Prime AI. Knightscope’s public disclosures are centered primarily on autonomous security robots and related security services, while Sentinel Prime AI is designed as a broader enterprise physical-security AI platform with fixed-camera deployments, multimodal sensor fusion, video analytics, uncertainty-based alert filtering, SOC workflows, and enterprise system integration. Therefore, Knightscope is more suitable for benchmarking security operations and incident-response workflows than for directly benchmarking Sentinel Prime AI’s video-analytics and SOC performance.</w:t>
      </w:r>
    </w:p>
    <w:p w14:paraId="113C3ADD" w14:textId="77777777" w:rsidR="00D93363" w:rsidRPr="002067AB" w:rsidRDefault="00D93363" w:rsidP="002067AB">
      <w:pPr>
        <w:jc w:val="left"/>
        <w:rPr>
          <w:rFonts w:ascii="Times New Roman" w:hAnsi="Times New Roman" w:cs="Times New Roman"/>
          <w:sz w:val="22"/>
        </w:rPr>
      </w:pPr>
    </w:p>
    <w:p w14:paraId="4FA6CA33" w14:textId="77777777" w:rsidR="00153AE2" w:rsidRDefault="00153AE2" w:rsidP="002067AB">
      <w:pPr>
        <w:jc w:val="left"/>
        <w:rPr>
          <w:rFonts w:ascii="Times New Roman" w:hAnsi="Times New Roman" w:cs="Times New Roman"/>
          <w:sz w:val="22"/>
        </w:rPr>
      </w:pPr>
      <w:r w:rsidRPr="002067AB">
        <w:rPr>
          <w:rFonts w:ascii="Times New Roman" w:hAnsi="Times New Roman" w:cs="Times New Roman"/>
          <w:sz w:val="22"/>
        </w:rPr>
        <w:t>Granular operational data such as event-level false-alert records, operator response times, camera-feed uptime by device, confidence-score distributions, and alert-resolution outcomes are not publicly disclosed in sufficient detail for direct analysis. Later KPI and dashboard work will therefore require clearly labelled simulated operational data informed by public proxy information and documented assumptions.</w:t>
      </w:r>
    </w:p>
    <w:p w14:paraId="0FF2DEDB" w14:textId="77777777" w:rsidR="00D93363" w:rsidRPr="002067AB" w:rsidRDefault="00D93363" w:rsidP="002067AB">
      <w:pPr>
        <w:jc w:val="left"/>
        <w:rPr>
          <w:rFonts w:ascii="Times New Roman" w:hAnsi="Times New Roman" w:cs="Times New Roman"/>
          <w:sz w:val="22"/>
        </w:rPr>
      </w:pPr>
    </w:p>
    <w:p w14:paraId="4CA7E72F" w14:textId="77777777" w:rsidR="00153AE2" w:rsidRPr="00D93363" w:rsidRDefault="00153AE2" w:rsidP="002067AB">
      <w:pPr>
        <w:jc w:val="left"/>
        <w:rPr>
          <w:rFonts w:ascii="Times New Roman" w:hAnsi="Times New Roman" w:cs="Times New Roman"/>
          <w:sz w:val="22"/>
        </w:rPr>
      </w:pPr>
      <w:r w:rsidRPr="00D93363">
        <w:rPr>
          <w:rFonts w:ascii="Times New Roman" w:hAnsi="Times New Roman" w:cs="Times New Roman"/>
          <w:sz w:val="22"/>
        </w:rPr>
        <w:t>If additional benchmarking is required in later phases, a supplementary enterprise video-security proxy could be considered to better represent Sentinel Prime AI’s fixed-camera, video-analytics, and SOC functions.</w:t>
      </w:r>
    </w:p>
    <w:p w14:paraId="6AF62645" w14:textId="77777777" w:rsidR="00153AE2" w:rsidRPr="002067AB" w:rsidRDefault="00153AE2" w:rsidP="002067AB">
      <w:pPr>
        <w:jc w:val="left"/>
        <w:rPr>
          <w:rFonts w:ascii="Times New Roman" w:hAnsi="Times New Roman" w:cs="Times New Roman"/>
          <w:sz w:val="22"/>
        </w:rPr>
      </w:pPr>
    </w:p>
    <w:p w14:paraId="07251AFD" w14:textId="2815A181" w:rsidR="00FA63DD" w:rsidRPr="00D93363" w:rsidRDefault="00FA63DD" w:rsidP="002067AB">
      <w:pPr>
        <w:jc w:val="left"/>
        <w:rPr>
          <w:rFonts w:ascii="Times New Roman" w:hAnsi="Times New Roman" w:cs="Times New Roman"/>
          <w:b/>
          <w:bCs/>
          <w:sz w:val="24"/>
          <w:szCs w:val="24"/>
        </w:rPr>
      </w:pPr>
      <w:r w:rsidRPr="00D93363">
        <w:rPr>
          <w:rFonts w:ascii="Times New Roman" w:hAnsi="Times New Roman" w:cs="Times New Roman"/>
          <w:b/>
          <w:bCs/>
          <w:sz w:val="24"/>
          <w:szCs w:val="24"/>
        </w:rPr>
        <w:t>Primary Data Quality Challenge</w:t>
      </w:r>
    </w:p>
    <w:p w14:paraId="4A63CC43" w14:textId="77777777" w:rsidR="00FA63DD" w:rsidRDefault="00FA63DD" w:rsidP="002067AB">
      <w:pPr>
        <w:jc w:val="left"/>
        <w:rPr>
          <w:rFonts w:ascii="Times New Roman" w:hAnsi="Times New Roman" w:cs="Times New Roman"/>
          <w:sz w:val="22"/>
        </w:rPr>
      </w:pPr>
      <w:r w:rsidRPr="00D93363">
        <w:rPr>
          <w:rFonts w:ascii="Times New Roman" w:hAnsi="Times New Roman" w:cs="Times New Roman"/>
          <w:sz w:val="22"/>
        </w:rPr>
        <w:t>The primary data quality challenge is context-sensitive false-positive measurement.</w:t>
      </w:r>
      <w:r w:rsidRPr="002067AB">
        <w:rPr>
          <w:rFonts w:ascii="Times New Roman" w:hAnsi="Times New Roman" w:cs="Times New Roman"/>
          <w:sz w:val="22"/>
        </w:rPr>
        <w:t xml:space="preserve"> Sentinel Prime AI’s detection performance depends on classification thresholds, sensor conditions, and deployment environment. A false-positive rate measured under controlled or limited test </w:t>
      </w:r>
      <w:r w:rsidRPr="002067AB">
        <w:rPr>
          <w:rFonts w:ascii="Times New Roman" w:hAnsi="Times New Roman" w:cs="Times New Roman"/>
          <w:sz w:val="22"/>
        </w:rPr>
        <w:lastRenderedPageBreak/>
        <w:t>conditions may therefore differ substantially from performance in real-world deployments, where lighting, weather, crowd density, camera angle, sensor quality, and background activity can vary. This makes cross-site comparison difficult unless detection thresholds, environmental conditions, and event definitions are recorded consistently.</w:t>
      </w:r>
    </w:p>
    <w:p w14:paraId="2DF4C924" w14:textId="77777777" w:rsidR="00D93363" w:rsidRPr="002067AB" w:rsidRDefault="00D93363" w:rsidP="002067AB">
      <w:pPr>
        <w:jc w:val="left"/>
        <w:rPr>
          <w:rFonts w:ascii="Times New Roman" w:hAnsi="Times New Roman" w:cs="Times New Roman"/>
          <w:sz w:val="22"/>
        </w:rPr>
      </w:pPr>
    </w:p>
    <w:p w14:paraId="719FFD41" w14:textId="77777777" w:rsidR="00FA63DD" w:rsidRPr="002067AB" w:rsidRDefault="00FA63DD" w:rsidP="002067AB">
      <w:pPr>
        <w:jc w:val="left"/>
        <w:rPr>
          <w:rFonts w:ascii="Times New Roman" w:hAnsi="Times New Roman" w:cs="Times New Roman"/>
          <w:sz w:val="22"/>
        </w:rPr>
      </w:pPr>
      <w:r w:rsidRPr="002067AB">
        <w:rPr>
          <w:rFonts w:ascii="Times New Roman" w:hAnsi="Times New Roman" w:cs="Times New Roman"/>
          <w:sz w:val="22"/>
        </w:rPr>
        <w:t>A related challenge is that Sentinel Prime AI remains under active development, so published performance figures and interface metrics should be treated as design targets rather than validated production benchmarks.</w:t>
      </w:r>
    </w:p>
    <w:p w14:paraId="1364799F" w14:textId="5CCF8AB5" w:rsidR="00FA63DD" w:rsidRPr="002067AB" w:rsidRDefault="00D93363" w:rsidP="002067AB">
      <w:pPr>
        <w:jc w:val="left"/>
        <w:rPr>
          <w:rFonts w:ascii="Times New Roman" w:hAnsi="Times New Roman" w:cs="Times New Roman"/>
          <w:sz w:val="22"/>
        </w:rPr>
      </w:pPr>
      <w:r w:rsidRPr="00D93363">
        <w:rPr>
          <w:rFonts w:ascii="Times New Roman" w:hAnsi="Times New Roman" w:cs="Times New Roman"/>
          <w:sz w:val="22"/>
        </w:rPr>
        <w:t>Sources: InGen Dynamics, “Sentinel Prime AI,” official product website; Knightscope, Inc., 2025 Form 10-K, Q2 2026 Form 10-Q, and Q2 2026 Investor Presentation. Accessed September 2026.</w:t>
      </w:r>
    </w:p>
    <w:p w14:paraId="7726745C" w14:textId="77777777" w:rsidR="00D93363" w:rsidRDefault="00D93363" w:rsidP="002067AB">
      <w:pPr>
        <w:jc w:val="left"/>
        <w:rPr>
          <w:rFonts w:ascii="Times New Roman" w:hAnsi="Times New Roman" w:cs="Times New Roman"/>
          <w:sz w:val="22"/>
        </w:rPr>
      </w:pPr>
    </w:p>
    <w:p w14:paraId="5D6AFFE9" w14:textId="210926E9" w:rsidR="00567324" w:rsidRPr="00D93363" w:rsidRDefault="00120CCC" w:rsidP="002067AB">
      <w:pPr>
        <w:jc w:val="left"/>
        <w:rPr>
          <w:rFonts w:ascii="Times New Roman" w:hAnsi="Times New Roman" w:cs="Times New Roman"/>
          <w:b/>
          <w:bCs/>
          <w:sz w:val="28"/>
          <w:szCs w:val="28"/>
        </w:rPr>
      </w:pPr>
      <w:r w:rsidRPr="00D93363">
        <w:rPr>
          <w:rFonts w:ascii="Times New Roman" w:hAnsi="Times New Roman" w:cs="Times New Roman"/>
          <w:b/>
          <w:bCs/>
          <w:sz w:val="28"/>
          <w:szCs w:val="28"/>
        </w:rPr>
        <w:t>Senpai</w:t>
      </w:r>
    </w:p>
    <w:p w14:paraId="2CA6D379" w14:textId="6072748C" w:rsidR="00120CCC" w:rsidRPr="00D93363" w:rsidRDefault="00120CCC" w:rsidP="002067AB">
      <w:pPr>
        <w:jc w:val="left"/>
        <w:rPr>
          <w:rFonts w:ascii="Times New Roman" w:hAnsi="Times New Roman" w:cs="Times New Roman"/>
          <w:b/>
          <w:bCs/>
          <w:sz w:val="24"/>
          <w:szCs w:val="24"/>
        </w:rPr>
      </w:pPr>
      <w:r w:rsidRPr="00D93363">
        <w:rPr>
          <w:rFonts w:ascii="Times New Roman" w:hAnsi="Times New Roman" w:cs="Times New Roman"/>
          <w:b/>
          <w:bCs/>
          <w:sz w:val="24"/>
          <w:szCs w:val="24"/>
        </w:rPr>
        <w:t>Primary Data Types</w:t>
      </w:r>
    </w:p>
    <w:p w14:paraId="667B4436" w14:textId="77777777" w:rsidR="00120CCC" w:rsidRDefault="00120CCC" w:rsidP="002067AB">
      <w:pPr>
        <w:jc w:val="left"/>
        <w:rPr>
          <w:rFonts w:ascii="Times New Roman" w:hAnsi="Times New Roman" w:cs="Times New Roman"/>
          <w:sz w:val="22"/>
        </w:rPr>
      </w:pPr>
      <w:r w:rsidRPr="002067AB">
        <w:rPr>
          <w:rFonts w:ascii="Times New Roman" w:hAnsi="Times New Roman" w:cs="Times New Roman"/>
          <w:sz w:val="22"/>
        </w:rPr>
        <w:t xml:space="preserve">Senpai is designed to generate and process sensor, learning, interaction, operational, and stakeholder-facing educational data. Sensor data includes RGB and depth-camera inputs, eye-gaze tracking, microphone and speech signals, proximity sensing, ambient light, classroom noise, temperature, humidity, CO₂, motion, orientation, and optional biometric or wearable inputs. These signals are intended to support engagement detection, accessibility adaptations, safety monitoring, and classroom-environment awareness. </w:t>
      </w:r>
    </w:p>
    <w:p w14:paraId="5BD5E2CB" w14:textId="77777777" w:rsidR="00D93363" w:rsidRPr="002067AB" w:rsidRDefault="00D93363" w:rsidP="002067AB">
      <w:pPr>
        <w:jc w:val="left"/>
        <w:rPr>
          <w:rFonts w:ascii="Times New Roman" w:hAnsi="Times New Roman" w:cs="Times New Roman"/>
          <w:sz w:val="22"/>
        </w:rPr>
      </w:pPr>
    </w:p>
    <w:p w14:paraId="21F4B472" w14:textId="77777777" w:rsidR="00120CCC" w:rsidRDefault="00120CCC" w:rsidP="002067AB">
      <w:pPr>
        <w:jc w:val="left"/>
        <w:rPr>
          <w:rFonts w:ascii="Times New Roman" w:hAnsi="Times New Roman" w:cs="Times New Roman"/>
          <w:sz w:val="22"/>
        </w:rPr>
      </w:pPr>
      <w:r w:rsidRPr="002067AB">
        <w:rPr>
          <w:rFonts w:ascii="Times New Roman" w:hAnsi="Times New Roman" w:cs="Times New Roman"/>
          <w:sz w:val="22"/>
        </w:rPr>
        <w:t>Learning data can include concept-level knowledge states, mastery progression, answer correctness, response time, transfer-question performance, spaced-retrieval outcomes, assessment results, lesson progression, curriculum alignment, and cross-session retention. Senpai’s planned learning architecture maps student interactions to a concept knowledge graph and uses repeated assessment to distinguish genuine mastery from simple pattern matching.</w:t>
      </w:r>
    </w:p>
    <w:p w14:paraId="0A5CE714" w14:textId="77777777" w:rsidR="00D93363" w:rsidRPr="002067AB" w:rsidRDefault="00D93363" w:rsidP="002067AB">
      <w:pPr>
        <w:jc w:val="left"/>
        <w:rPr>
          <w:rFonts w:ascii="Times New Roman" w:hAnsi="Times New Roman" w:cs="Times New Roman"/>
          <w:sz w:val="22"/>
        </w:rPr>
      </w:pPr>
    </w:p>
    <w:p w14:paraId="43BB3150" w14:textId="77777777" w:rsidR="00120CCC" w:rsidRDefault="00120CCC" w:rsidP="002067AB">
      <w:pPr>
        <w:jc w:val="left"/>
        <w:rPr>
          <w:rFonts w:ascii="Times New Roman" w:hAnsi="Times New Roman" w:cs="Times New Roman"/>
          <w:sz w:val="22"/>
        </w:rPr>
      </w:pPr>
      <w:r w:rsidRPr="002067AB">
        <w:rPr>
          <w:rFonts w:ascii="Times New Roman" w:hAnsi="Times New Roman" w:cs="Times New Roman"/>
          <w:sz w:val="22"/>
        </w:rPr>
        <w:t xml:space="preserve">Interaction data can include student–robot dialogue, pronunciation practice, gaze, gesture, touch, projected-surface interaction, lesson modality, session duration, engagement level, SEND adaptation mode, teacher interventions, and safeguarding-related interaction events. The planned dashboard system also distinguishes student, teacher, parent, and administrator views, all derived from the same underlying learning and interaction data. </w:t>
      </w:r>
    </w:p>
    <w:p w14:paraId="54F96863" w14:textId="77777777" w:rsidR="00D93363" w:rsidRPr="002067AB" w:rsidRDefault="00D93363" w:rsidP="002067AB">
      <w:pPr>
        <w:jc w:val="left"/>
        <w:rPr>
          <w:rFonts w:ascii="Times New Roman" w:hAnsi="Times New Roman" w:cs="Times New Roman"/>
          <w:sz w:val="22"/>
        </w:rPr>
      </w:pPr>
    </w:p>
    <w:p w14:paraId="41AEA5C6" w14:textId="77777777" w:rsidR="00D93363" w:rsidRDefault="00120CCC" w:rsidP="002067AB">
      <w:pPr>
        <w:jc w:val="left"/>
        <w:rPr>
          <w:rFonts w:ascii="Times New Roman" w:hAnsi="Times New Roman" w:cs="Times New Roman"/>
          <w:sz w:val="22"/>
        </w:rPr>
      </w:pPr>
      <w:r w:rsidRPr="002067AB">
        <w:rPr>
          <w:rFonts w:ascii="Times New Roman" w:hAnsi="Times New Roman" w:cs="Times New Roman"/>
          <w:sz w:val="22"/>
        </w:rPr>
        <w:t>Operational data can include device status, connectivity, offline synchronisation, classroom fleet coordination, model-confidence and uncertainty outputs, lesson and dashboard latency, system updates, MIS integration events, and cloud synchronisation. Teacher- and parent-facing outputs may include live engagement summaries, knowledge maps, progress reports, differentiated lesson recommendations, evidence packages, and safeguarding alerts.</w:t>
      </w:r>
      <w:r w:rsidR="00D93363">
        <w:rPr>
          <w:rFonts w:ascii="Times New Roman" w:hAnsi="Times New Roman" w:cs="Times New Roman" w:hint="eastAsia"/>
          <w:sz w:val="22"/>
        </w:rPr>
        <w:t xml:space="preserve"> </w:t>
      </w:r>
    </w:p>
    <w:p w14:paraId="64C166F4" w14:textId="77777777" w:rsidR="00D93363" w:rsidRDefault="00D93363" w:rsidP="002067AB">
      <w:pPr>
        <w:jc w:val="left"/>
        <w:rPr>
          <w:rFonts w:ascii="Times New Roman" w:hAnsi="Times New Roman" w:cs="Times New Roman"/>
          <w:sz w:val="22"/>
        </w:rPr>
      </w:pPr>
    </w:p>
    <w:p w14:paraId="540389AB" w14:textId="26C546FB" w:rsidR="00D93363" w:rsidRPr="002067AB" w:rsidRDefault="00120CCC" w:rsidP="002067AB">
      <w:pPr>
        <w:jc w:val="left"/>
        <w:rPr>
          <w:rFonts w:ascii="Times New Roman" w:hAnsi="Times New Roman" w:cs="Times New Roman"/>
          <w:sz w:val="22"/>
        </w:rPr>
      </w:pPr>
      <w:r w:rsidRPr="002067AB">
        <w:rPr>
          <w:rFonts w:ascii="Times New Roman" w:hAnsi="Times New Roman" w:cs="Times New Roman"/>
          <w:sz w:val="22"/>
        </w:rPr>
        <w:t>As Senpai remains under active development, the published hardware specifications, AI-model behaviour, interface designs, and performance figures should be treated as design intent rather than validated production results.</w:t>
      </w:r>
    </w:p>
    <w:p w14:paraId="273AD044" w14:textId="77777777" w:rsidR="00690A7B" w:rsidRPr="002067AB" w:rsidRDefault="00690A7B" w:rsidP="002067AB">
      <w:pPr>
        <w:jc w:val="left"/>
        <w:rPr>
          <w:rFonts w:ascii="Times New Roman" w:hAnsi="Times New Roman" w:cs="Times New Roman"/>
          <w:sz w:val="22"/>
        </w:rPr>
      </w:pPr>
    </w:p>
    <w:p w14:paraId="584D5559" w14:textId="63289722" w:rsidR="00120CCC" w:rsidRPr="00D93363" w:rsidRDefault="00690A7B" w:rsidP="002067AB">
      <w:pPr>
        <w:jc w:val="left"/>
        <w:rPr>
          <w:rFonts w:ascii="Times New Roman" w:hAnsi="Times New Roman" w:cs="Times New Roman"/>
          <w:b/>
          <w:bCs/>
          <w:sz w:val="24"/>
          <w:szCs w:val="24"/>
        </w:rPr>
      </w:pPr>
      <w:r w:rsidRPr="00D93363">
        <w:rPr>
          <w:rFonts w:ascii="Times New Roman" w:hAnsi="Times New Roman" w:cs="Times New Roman"/>
          <w:b/>
          <w:bCs/>
          <w:sz w:val="24"/>
          <w:szCs w:val="24"/>
        </w:rPr>
        <w:t>Five Analytical Questions</w:t>
      </w:r>
    </w:p>
    <w:p w14:paraId="6F7619FD" w14:textId="53C25DC9" w:rsidR="00690A7B" w:rsidRPr="002067AB" w:rsidRDefault="00690A7B" w:rsidP="002067AB">
      <w:pPr>
        <w:pStyle w:val="a9"/>
        <w:numPr>
          <w:ilvl w:val="0"/>
          <w:numId w:val="3"/>
        </w:numPr>
        <w:jc w:val="left"/>
        <w:rPr>
          <w:rFonts w:ascii="Times New Roman" w:hAnsi="Times New Roman" w:cs="Times New Roman"/>
          <w:sz w:val="22"/>
        </w:rPr>
      </w:pPr>
      <w:r w:rsidRPr="002067AB">
        <w:rPr>
          <w:rFonts w:ascii="Times New Roman" w:hAnsi="Times New Roman" w:cs="Times New Roman"/>
          <w:sz w:val="22"/>
        </w:rPr>
        <w:t xml:space="preserve">How does student engagement duration relate to concept mastery and assessment performance across learning sessions? </w:t>
      </w:r>
    </w:p>
    <w:p w14:paraId="20CFF393" w14:textId="697BED7A" w:rsidR="00690A7B" w:rsidRPr="002067AB" w:rsidRDefault="00690A7B" w:rsidP="002067AB">
      <w:pPr>
        <w:pStyle w:val="a9"/>
        <w:numPr>
          <w:ilvl w:val="0"/>
          <w:numId w:val="3"/>
        </w:numPr>
        <w:jc w:val="left"/>
        <w:rPr>
          <w:rFonts w:ascii="Times New Roman" w:hAnsi="Times New Roman" w:cs="Times New Roman"/>
          <w:sz w:val="22"/>
        </w:rPr>
      </w:pPr>
      <w:r w:rsidRPr="002067AB">
        <w:rPr>
          <w:rFonts w:ascii="Times New Roman" w:hAnsi="Times New Roman" w:cs="Times New Roman"/>
          <w:sz w:val="22"/>
        </w:rPr>
        <w:t xml:space="preserve">How well does initial concept mastery predict cross-session learning retention in later spaced-retrieval assessments? </w:t>
      </w:r>
    </w:p>
    <w:p w14:paraId="64C02132" w14:textId="76EBDC4A" w:rsidR="00690A7B" w:rsidRPr="002067AB" w:rsidRDefault="00690A7B" w:rsidP="002067AB">
      <w:pPr>
        <w:pStyle w:val="a9"/>
        <w:numPr>
          <w:ilvl w:val="0"/>
          <w:numId w:val="3"/>
        </w:numPr>
        <w:jc w:val="left"/>
        <w:rPr>
          <w:rFonts w:ascii="Times New Roman" w:hAnsi="Times New Roman" w:cs="Times New Roman"/>
          <w:sz w:val="22"/>
        </w:rPr>
      </w:pPr>
      <w:r w:rsidRPr="002067AB">
        <w:rPr>
          <w:rFonts w:ascii="Times New Roman" w:hAnsi="Times New Roman" w:cs="Times New Roman"/>
          <w:sz w:val="22"/>
        </w:rPr>
        <w:t xml:space="preserve">How do different SEND adaptation modes affect student engagement, lesson completion, and learning outcomes? </w:t>
      </w:r>
    </w:p>
    <w:p w14:paraId="39C6705A" w14:textId="51B83DED" w:rsidR="00690A7B" w:rsidRPr="002067AB" w:rsidRDefault="00690A7B" w:rsidP="002067AB">
      <w:pPr>
        <w:pStyle w:val="a9"/>
        <w:numPr>
          <w:ilvl w:val="0"/>
          <w:numId w:val="3"/>
        </w:numPr>
        <w:jc w:val="left"/>
        <w:rPr>
          <w:rFonts w:ascii="Times New Roman" w:hAnsi="Times New Roman" w:cs="Times New Roman"/>
          <w:sz w:val="22"/>
        </w:rPr>
      </w:pPr>
      <w:r w:rsidRPr="002067AB">
        <w:rPr>
          <w:rFonts w:ascii="Times New Roman" w:hAnsi="Times New Roman" w:cs="Times New Roman"/>
          <w:sz w:val="22"/>
        </w:rPr>
        <w:t xml:space="preserve">How does teacher intervention frequency vary across students, subjects, and engagement levels, and is it associated with improved subsequent performance? </w:t>
      </w:r>
    </w:p>
    <w:p w14:paraId="4252CADD" w14:textId="4021CD89" w:rsidR="00690A7B" w:rsidRPr="002067AB" w:rsidRDefault="00690A7B" w:rsidP="002067AB">
      <w:pPr>
        <w:pStyle w:val="a9"/>
        <w:numPr>
          <w:ilvl w:val="0"/>
          <w:numId w:val="3"/>
        </w:numPr>
        <w:jc w:val="left"/>
        <w:rPr>
          <w:rFonts w:ascii="Times New Roman" w:hAnsi="Times New Roman" w:cs="Times New Roman"/>
          <w:sz w:val="22"/>
        </w:rPr>
      </w:pPr>
      <w:r w:rsidRPr="002067AB">
        <w:rPr>
          <w:rFonts w:ascii="Times New Roman" w:hAnsi="Times New Roman" w:cs="Times New Roman"/>
          <w:sz w:val="22"/>
        </w:rPr>
        <w:t>How consistently does Senpai follow the intended curriculum sequence, and where do students most frequently require lesson adaptation, repetition, or alternative teaching modalities?</w:t>
      </w:r>
    </w:p>
    <w:p w14:paraId="58770A22" w14:textId="77777777" w:rsidR="00690A7B" w:rsidRPr="002067AB" w:rsidRDefault="00690A7B" w:rsidP="002067AB">
      <w:pPr>
        <w:jc w:val="left"/>
        <w:rPr>
          <w:rFonts w:ascii="Times New Roman" w:hAnsi="Times New Roman" w:cs="Times New Roman"/>
          <w:sz w:val="22"/>
        </w:rPr>
      </w:pPr>
    </w:p>
    <w:p w14:paraId="1A217FF9" w14:textId="65BD002A" w:rsidR="00690A7B" w:rsidRPr="00D93363" w:rsidRDefault="0066628B" w:rsidP="002067AB">
      <w:pPr>
        <w:jc w:val="left"/>
        <w:rPr>
          <w:rFonts w:ascii="Times New Roman" w:hAnsi="Times New Roman" w:cs="Times New Roman"/>
          <w:b/>
          <w:bCs/>
          <w:sz w:val="24"/>
          <w:szCs w:val="24"/>
        </w:rPr>
      </w:pPr>
      <w:r w:rsidRPr="00D93363">
        <w:rPr>
          <w:rFonts w:ascii="Times New Roman" w:hAnsi="Times New Roman" w:cs="Times New Roman"/>
          <w:b/>
          <w:bCs/>
          <w:sz w:val="24"/>
          <w:szCs w:val="24"/>
        </w:rPr>
        <w:t>Public Proxy Data</w:t>
      </w:r>
    </w:p>
    <w:p w14:paraId="33AB78F6" w14:textId="66965C5C" w:rsidR="0066628B" w:rsidRDefault="0066628B" w:rsidP="002067AB">
      <w:pPr>
        <w:jc w:val="left"/>
        <w:rPr>
          <w:rFonts w:ascii="Times New Roman" w:hAnsi="Times New Roman" w:cs="Times New Roman"/>
          <w:sz w:val="22"/>
        </w:rPr>
      </w:pPr>
      <w:r w:rsidRPr="00D93363">
        <w:rPr>
          <w:rFonts w:ascii="Times New Roman" w:hAnsi="Times New Roman" w:cs="Times New Roman"/>
          <w:sz w:val="22"/>
        </w:rPr>
        <w:t>Peer-reviewed research on educational and social robots is used as the primary public proxy for Senpai.</w:t>
      </w:r>
      <w:r w:rsidRPr="002067AB">
        <w:rPr>
          <w:rFonts w:ascii="Times New Roman" w:hAnsi="Times New Roman" w:cs="Times New Roman"/>
          <w:sz w:val="22"/>
        </w:rPr>
        <w:t xml:space="preserve"> A large-scale bibliometric review by Lu et al. (2025) analyzed 1,120 peer-reviewed publications on robotics in education from 2015 to 2024 and found that educational robotics research increasingly focuses on areas such as student engagement, learning, and human–robot interaction. These research themes are relevant to Senpai because its planned analytics focus on student engagement, concept mastery, assessment performance, teacher interaction, and cross-session learning retention. </w:t>
      </w:r>
    </w:p>
    <w:p w14:paraId="6BCF8D3C" w14:textId="77777777" w:rsidR="00D93363" w:rsidRPr="002067AB" w:rsidRDefault="00D93363" w:rsidP="002067AB">
      <w:pPr>
        <w:jc w:val="left"/>
        <w:rPr>
          <w:rFonts w:ascii="Times New Roman" w:hAnsi="Times New Roman" w:cs="Times New Roman"/>
          <w:sz w:val="22"/>
        </w:rPr>
      </w:pPr>
    </w:p>
    <w:p w14:paraId="26398AFE" w14:textId="3144A1CF" w:rsidR="0066628B" w:rsidRDefault="0066628B" w:rsidP="002067AB">
      <w:pPr>
        <w:jc w:val="left"/>
        <w:rPr>
          <w:rFonts w:ascii="Times New Roman" w:hAnsi="Times New Roman" w:cs="Times New Roman"/>
          <w:sz w:val="22"/>
        </w:rPr>
      </w:pPr>
      <w:r w:rsidRPr="002067AB">
        <w:rPr>
          <w:rFonts w:ascii="Times New Roman" w:hAnsi="Times New Roman" w:cs="Times New Roman"/>
          <w:sz w:val="22"/>
        </w:rPr>
        <w:t>However, educational robotics research is only a partial proxy for Senpai. Published studies vary substantially in robot platform, student age, subject area, intervention duration, and evaluation method, which limits direct comparison with Senpai. In addition, existing studies generally do not reproduce Senpai’s planned concept-level knowledge-state tracking, SEND adaptation framework, or longitudinal learning architecture. Therefore, the literature is more appropriate for establishing broad educational-effectiveness and engagement benchmarks than for directly benchmarking Senpai’s full operational data model.</w:t>
      </w:r>
    </w:p>
    <w:p w14:paraId="0C768AFD" w14:textId="77777777" w:rsidR="0066628B" w:rsidRPr="002067AB" w:rsidRDefault="0066628B" w:rsidP="002067AB">
      <w:pPr>
        <w:jc w:val="left"/>
        <w:rPr>
          <w:rFonts w:ascii="Times New Roman" w:hAnsi="Times New Roman" w:cs="Times New Roman"/>
          <w:sz w:val="22"/>
        </w:rPr>
      </w:pPr>
    </w:p>
    <w:p w14:paraId="4433D9F4" w14:textId="1A5005CC" w:rsidR="0066628B" w:rsidRPr="00D93363" w:rsidRDefault="0066628B" w:rsidP="002067AB">
      <w:pPr>
        <w:jc w:val="left"/>
        <w:rPr>
          <w:rFonts w:ascii="Times New Roman" w:hAnsi="Times New Roman" w:cs="Times New Roman"/>
          <w:b/>
          <w:bCs/>
          <w:sz w:val="24"/>
          <w:szCs w:val="24"/>
        </w:rPr>
      </w:pPr>
      <w:r w:rsidRPr="00D93363">
        <w:rPr>
          <w:rFonts w:ascii="Times New Roman" w:hAnsi="Times New Roman" w:cs="Times New Roman"/>
          <w:b/>
          <w:bCs/>
          <w:sz w:val="24"/>
          <w:szCs w:val="24"/>
        </w:rPr>
        <w:t>Primary Data Quality Challenge</w:t>
      </w:r>
    </w:p>
    <w:p w14:paraId="4FC3E1DA" w14:textId="77777777" w:rsidR="0066628B" w:rsidRDefault="0066628B" w:rsidP="002067AB">
      <w:pPr>
        <w:jc w:val="left"/>
        <w:rPr>
          <w:rFonts w:ascii="Times New Roman" w:hAnsi="Times New Roman" w:cs="Times New Roman"/>
          <w:sz w:val="22"/>
        </w:rPr>
      </w:pPr>
      <w:r w:rsidRPr="00D93363">
        <w:rPr>
          <w:rFonts w:ascii="Times New Roman" w:hAnsi="Times New Roman" w:cs="Times New Roman"/>
          <w:sz w:val="22"/>
        </w:rPr>
        <w:t>The primary data quality challenge is confounding in the measurement of educational effectiveness.</w:t>
      </w:r>
      <w:r w:rsidRPr="002067AB">
        <w:rPr>
          <w:rFonts w:ascii="Times New Roman" w:hAnsi="Times New Roman" w:cs="Times New Roman"/>
          <w:sz w:val="22"/>
        </w:rPr>
        <w:t xml:space="preserve"> Student engagement, concept mastery, and learning retention can be influenced by many factors beyond interaction with Senpai, including prior ability, subject difficulty, teacher intervention, learning frequency, and individual support needs. As a result, a correlation between Senpai interaction time and improved learning outcomes should not automatically be interpreted as a causal effect of the robot.</w:t>
      </w:r>
    </w:p>
    <w:p w14:paraId="08AA5377" w14:textId="77777777" w:rsidR="00D93363" w:rsidRPr="002067AB" w:rsidRDefault="00D93363" w:rsidP="002067AB">
      <w:pPr>
        <w:jc w:val="left"/>
        <w:rPr>
          <w:rFonts w:ascii="Times New Roman" w:hAnsi="Times New Roman" w:cs="Times New Roman"/>
          <w:sz w:val="22"/>
        </w:rPr>
      </w:pPr>
    </w:p>
    <w:p w14:paraId="28BC3560" w14:textId="77777777" w:rsidR="0066628B" w:rsidRDefault="0066628B" w:rsidP="002067AB">
      <w:pPr>
        <w:jc w:val="left"/>
        <w:rPr>
          <w:rFonts w:ascii="Times New Roman" w:hAnsi="Times New Roman" w:cs="Times New Roman"/>
          <w:sz w:val="22"/>
        </w:rPr>
      </w:pPr>
      <w:r w:rsidRPr="002067AB">
        <w:rPr>
          <w:rFonts w:ascii="Times New Roman" w:hAnsi="Times New Roman" w:cs="Times New Roman"/>
          <w:sz w:val="22"/>
        </w:rPr>
        <w:t>A related challenge is maintaining consistent longitudinal data across repeated learning sessions. Because Senpai is designed to adapt lesson content and assessment timing to each student, students may receive different learning paths, making direct comparison of engagement, mastery, and retention metrics more difficult.</w:t>
      </w:r>
    </w:p>
    <w:p w14:paraId="75A5991D" w14:textId="77777777" w:rsidR="00D93363" w:rsidRPr="002067AB" w:rsidRDefault="00D93363" w:rsidP="002067AB">
      <w:pPr>
        <w:jc w:val="left"/>
        <w:rPr>
          <w:rFonts w:ascii="Times New Roman" w:hAnsi="Times New Roman" w:cs="Times New Roman"/>
          <w:sz w:val="22"/>
        </w:rPr>
      </w:pPr>
    </w:p>
    <w:p w14:paraId="57585ACC" w14:textId="77777777" w:rsidR="0066628B" w:rsidRDefault="0066628B" w:rsidP="002067AB">
      <w:pPr>
        <w:jc w:val="left"/>
        <w:rPr>
          <w:rFonts w:ascii="Times New Roman" w:hAnsi="Times New Roman" w:cs="Times New Roman"/>
          <w:sz w:val="22"/>
        </w:rPr>
      </w:pPr>
      <w:r w:rsidRPr="002067AB">
        <w:rPr>
          <w:rFonts w:ascii="Times New Roman" w:hAnsi="Times New Roman" w:cs="Times New Roman"/>
          <w:sz w:val="22"/>
        </w:rPr>
        <w:lastRenderedPageBreak/>
        <w:t>Senpai also remains under active development, so its current data architecture, assessment logic, and performance targets should be treated as design intent rather than validated production results.</w:t>
      </w:r>
    </w:p>
    <w:p w14:paraId="4C82F1C4" w14:textId="77777777" w:rsidR="00D93363" w:rsidRPr="002067AB" w:rsidRDefault="00D93363" w:rsidP="002067AB">
      <w:pPr>
        <w:jc w:val="left"/>
        <w:rPr>
          <w:rFonts w:ascii="Times New Roman" w:hAnsi="Times New Roman" w:cs="Times New Roman"/>
          <w:sz w:val="22"/>
        </w:rPr>
      </w:pPr>
    </w:p>
    <w:p w14:paraId="53162EB8" w14:textId="4B43428C" w:rsidR="00D93363" w:rsidRPr="002067AB" w:rsidRDefault="00D93363" w:rsidP="00D93363">
      <w:pPr>
        <w:jc w:val="left"/>
        <w:rPr>
          <w:rFonts w:ascii="Times New Roman" w:hAnsi="Times New Roman" w:cs="Times New Roman"/>
          <w:sz w:val="22"/>
        </w:rPr>
      </w:pPr>
      <w:r w:rsidRPr="002067AB">
        <w:rPr>
          <w:rFonts w:ascii="Times New Roman" w:hAnsi="Times New Roman" w:cs="Times New Roman"/>
          <w:b/>
          <w:bCs/>
          <w:sz w:val="22"/>
        </w:rPr>
        <w:t>Source:</w:t>
      </w:r>
      <w:r w:rsidRPr="002067AB">
        <w:rPr>
          <w:rFonts w:ascii="Times New Roman" w:hAnsi="Times New Roman" w:cs="Times New Roman"/>
          <w:sz w:val="22"/>
        </w:rPr>
        <w:t xml:space="preserve"> </w:t>
      </w:r>
      <w:r w:rsidR="00082157" w:rsidRPr="00082157">
        <w:rPr>
          <w:rFonts w:ascii="Times New Roman" w:hAnsi="Times New Roman" w:cs="Times New Roman"/>
          <w:sz w:val="22"/>
        </w:rPr>
        <w:t>InGen Dynamics, “Senpai,” official product website;</w:t>
      </w:r>
      <w:r w:rsidR="00082157">
        <w:rPr>
          <w:rFonts w:ascii="Times New Roman" w:hAnsi="Times New Roman" w:cs="Times New Roman" w:hint="eastAsia"/>
          <w:sz w:val="22"/>
        </w:rPr>
        <w:t xml:space="preserve"> </w:t>
      </w:r>
      <w:r w:rsidRPr="002067AB">
        <w:rPr>
          <w:rFonts w:ascii="Times New Roman" w:hAnsi="Times New Roman" w:cs="Times New Roman"/>
          <w:sz w:val="22"/>
        </w:rPr>
        <w:t xml:space="preserve">Lu, S., Nuryana, Z., Ni, X., Xu, W., &amp; Alias, M. N. (2025). </w:t>
      </w:r>
      <w:r w:rsidRPr="002067AB">
        <w:rPr>
          <w:rFonts w:ascii="Times New Roman" w:hAnsi="Times New Roman" w:cs="Times New Roman"/>
          <w:i/>
          <w:iCs/>
          <w:sz w:val="22"/>
        </w:rPr>
        <w:t>A decade of educational robotics: trends and SDG contributions</w:t>
      </w:r>
      <w:r w:rsidRPr="002067AB">
        <w:rPr>
          <w:rFonts w:ascii="Times New Roman" w:hAnsi="Times New Roman" w:cs="Times New Roman"/>
          <w:sz w:val="22"/>
        </w:rPr>
        <w:t>. Humanities and Social Sciences Communications.</w:t>
      </w:r>
    </w:p>
    <w:p w14:paraId="7B688620" w14:textId="77777777" w:rsidR="00D93363" w:rsidRDefault="00D93363" w:rsidP="002067AB">
      <w:pPr>
        <w:jc w:val="left"/>
        <w:rPr>
          <w:rFonts w:ascii="Times New Roman" w:hAnsi="Times New Roman" w:cs="Times New Roman"/>
          <w:sz w:val="22"/>
        </w:rPr>
      </w:pPr>
    </w:p>
    <w:p w14:paraId="1837D7F4" w14:textId="2D1AE24E" w:rsidR="00FA7426" w:rsidRPr="00082157" w:rsidRDefault="00D93363" w:rsidP="002067AB">
      <w:pPr>
        <w:jc w:val="left"/>
        <w:rPr>
          <w:rFonts w:ascii="Times New Roman" w:hAnsi="Times New Roman" w:cs="Times New Roman"/>
          <w:b/>
          <w:bCs/>
          <w:sz w:val="28"/>
          <w:szCs w:val="28"/>
        </w:rPr>
      </w:pPr>
      <w:r w:rsidRPr="00082157">
        <w:rPr>
          <w:rFonts w:ascii="Times New Roman" w:hAnsi="Times New Roman" w:cs="Times New Roman"/>
          <w:b/>
          <w:bCs/>
          <w:sz w:val="28"/>
          <w:szCs w:val="28"/>
        </w:rPr>
        <w:t>Aido Humanoid</w:t>
      </w:r>
    </w:p>
    <w:p w14:paraId="7255EBC7" w14:textId="2EAF5AB7" w:rsidR="0066628B" w:rsidRPr="00082157" w:rsidRDefault="00FA7426" w:rsidP="002067AB">
      <w:pPr>
        <w:jc w:val="left"/>
        <w:rPr>
          <w:rFonts w:ascii="Times New Roman" w:hAnsi="Times New Roman" w:cs="Times New Roman"/>
          <w:b/>
          <w:bCs/>
          <w:sz w:val="24"/>
          <w:szCs w:val="24"/>
        </w:rPr>
      </w:pPr>
      <w:r w:rsidRPr="00082157">
        <w:rPr>
          <w:rFonts w:ascii="Times New Roman" w:hAnsi="Times New Roman" w:cs="Times New Roman"/>
          <w:b/>
          <w:bCs/>
          <w:sz w:val="24"/>
          <w:szCs w:val="24"/>
        </w:rPr>
        <w:t>Primary Data Types</w:t>
      </w:r>
    </w:p>
    <w:p w14:paraId="5DF657B4" w14:textId="77777777" w:rsidR="00FA7426" w:rsidRDefault="00FA7426" w:rsidP="002067AB">
      <w:pPr>
        <w:jc w:val="left"/>
        <w:rPr>
          <w:rFonts w:ascii="Times New Roman" w:hAnsi="Times New Roman" w:cs="Times New Roman"/>
          <w:sz w:val="22"/>
        </w:rPr>
      </w:pPr>
      <w:r w:rsidRPr="002067AB">
        <w:rPr>
          <w:rFonts w:ascii="Times New Roman" w:hAnsi="Times New Roman" w:cs="Times New Roman"/>
          <w:sz w:val="22"/>
        </w:rPr>
        <w:t>Aido Humanoid is designed to generate and process multimodal sensor, motion-control, task-execution, training, operational, and safety data. Sensor data includes binocular RGB-D vision, context cameras, an emotion-AI camera, solid-state LiDAR, a 6-microphone array, fingertip tactile sensing, wrist force/torque sensing, and IMU measurements. These inputs support object detection, grasp planning, person tracking, terrain awareness, voice interaction, contact-quality monitoring, and balance control.</w:t>
      </w:r>
    </w:p>
    <w:p w14:paraId="36EBFDD7" w14:textId="77777777" w:rsidR="00082157" w:rsidRPr="002067AB" w:rsidRDefault="00082157" w:rsidP="002067AB">
      <w:pPr>
        <w:jc w:val="left"/>
        <w:rPr>
          <w:rFonts w:ascii="Times New Roman" w:hAnsi="Times New Roman" w:cs="Times New Roman"/>
          <w:sz w:val="22"/>
        </w:rPr>
      </w:pPr>
    </w:p>
    <w:p w14:paraId="4E8F720D" w14:textId="77777777" w:rsidR="00FA7426" w:rsidRDefault="00FA7426" w:rsidP="002067AB">
      <w:pPr>
        <w:jc w:val="left"/>
        <w:rPr>
          <w:rFonts w:ascii="Times New Roman" w:hAnsi="Times New Roman" w:cs="Times New Roman"/>
          <w:sz w:val="22"/>
        </w:rPr>
      </w:pPr>
      <w:r w:rsidRPr="002067AB">
        <w:rPr>
          <w:rFonts w:ascii="Times New Roman" w:hAnsi="Times New Roman" w:cs="Times New Roman"/>
          <w:sz w:val="22"/>
        </w:rPr>
        <w:t>Motion and control data can include joint position, joint velocity, actuator torque, gait state, balance metrics, contact force, end-effector pose, grasp state, and locomotion trajectories across the robot’s 54 degrees of freedom. Manipulation data may also capture force/torque readings, tactile feedback, slip detection, re-grasp events, and the performance of different grasp configurations.</w:t>
      </w:r>
    </w:p>
    <w:p w14:paraId="47CCC037" w14:textId="77777777" w:rsidR="00082157" w:rsidRPr="002067AB" w:rsidRDefault="00082157" w:rsidP="002067AB">
      <w:pPr>
        <w:jc w:val="left"/>
        <w:rPr>
          <w:rFonts w:ascii="Times New Roman" w:hAnsi="Times New Roman" w:cs="Times New Roman"/>
          <w:sz w:val="22"/>
        </w:rPr>
      </w:pPr>
    </w:p>
    <w:p w14:paraId="70173882" w14:textId="77777777" w:rsidR="00FA7426" w:rsidRDefault="00FA7426" w:rsidP="002067AB">
      <w:pPr>
        <w:jc w:val="left"/>
        <w:rPr>
          <w:rFonts w:ascii="Times New Roman" w:hAnsi="Times New Roman" w:cs="Times New Roman"/>
          <w:sz w:val="22"/>
        </w:rPr>
      </w:pPr>
      <w:r w:rsidRPr="002067AB">
        <w:rPr>
          <w:rFonts w:ascii="Times New Roman" w:hAnsi="Times New Roman" w:cs="Times New Roman"/>
          <w:sz w:val="22"/>
        </w:rPr>
        <w:t>Task and skill data can include task type, completion status, execution time, retry count, failure mode, human intervention, skill-selection decisions, and task-specific outcomes across manipulation, logistics, healthcare, assistance, social, and navigation functions. Examples include grasping, lifting, tool use, box stacking, handover, stair climbing, and obstacle avoidance.</w:t>
      </w:r>
    </w:p>
    <w:p w14:paraId="5BFC0DE2" w14:textId="77777777" w:rsidR="00082157" w:rsidRPr="002067AB" w:rsidRDefault="00082157" w:rsidP="002067AB">
      <w:pPr>
        <w:jc w:val="left"/>
        <w:rPr>
          <w:rFonts w:ascii="Times New Roman" w:hAnsi="Times New Roman" w:cs="Times New Roman"/>
          <w:sz w:val="22"/>
        </w:rPr>
      </w:pPr>
    </w:p>
    <w:p w14:paraId="45DFC09F" w14:textId="77777777" w:rsidR="00FA7426" w:rsidRDefault="00FA7426" w:rsidP="002067AB">
      <w:pPr>
        <w:jc w:val="left"/>
        <w:rPr>
          <w:rFonts w:ascii="Times New Roman" w:hAnsi="Times New Roman" w:cs="Times New Roman"/>
          <w:sz w:val="22"/>
        </w:rPr>
      </w:pPr>
      <w:r w:rsidRPr="002067AB">
        <w:rPr>
          <w:rFonts w:ascii="Times New Roman" w:hAnsi="Times New Roman" w:cs="Times New Roman"/>
          <w:sz w:val="22"/>
        </w:rPr>
        <w:t>Training and validation data can include GRPO candidate rollouts, policy updates, sim-to-real transfer results, skill-validation outcomes, STUM uncertainty scores, calibration metrics, subsystem test results, and training-iteration efficiency. Operational and safety data can include battery state, runtime, charging status, connectivity, fleet telemetry, system uptime, sensor degradation, E-stop events, force-limit violations, SEOM rule states, alert tier, and audit-log records.</w:t>
      </w:r>
    </w:p>
    <w:p w14:paraId="6E1FE4B5" w14:textId="77777777" w:rsidR="00082157" w:rsidRPr="002067AB" w:rsidRDefault="00082157" w:rsidP="002067AB">
      <w:pPr>
        <w:jc w:val="left"/>
        <w:rPr>
          <w:rFonts w:ascii="Times New Roman" w:hAnsi="Times New Roman" w:cs="Times New Roman"/>
          <w:sz w:val="22"/>
        </w:rPr>
      </w:pPr>
    </w:p>
    <w:p w14:paraId="33ED7518" w14:textId="77777777" w:rsidR="00FA7426" w:rsidRDefault="00FA7426" w:rsidP="002067AB">
      <w:pPr>
        <w:jc w:val="left"/>
        <w:rPr>
          <w:rFonts w:ascii="Times New Roman" w:hAnsi="Times New Roman" w:cs="Times New Roman"/>
          <w:sz w:val="22"/>
        </w:rPr>
      </w:pPr>
      <w:r w:rsidRPr="002067AB">
        <w:rPr>
          <w:rFonts w:ascii="Times New Roman" w:hAnsi="Times New Roman" w:cs="Times New Roman"/>
          <w:sz w:val="22"/>
        </w:rPr>
        <w:t>As Aido Humanoid remains under active development, the published specifications, skill capabilities, safety thresholds, and performance figures should be treated as engineering design targets rather than validated production benchmarks.</w:t>
      </w:r>
    </w:p>
    <w:p w14:paraId="0B8ED1D3" w14:textId="77777777" w:rsidR="00082157" w:rsidRPr="002067AB" w:rsidRDefault="00082157" w:rsidP="002067AB">
      <w:pPr>
        <w:jc w:val="left"/>
        <w:rPr>
          <w:rFonts w:ascii="Times New Roman" w:hAnsi="Times New Roman" w:cs="Times New Roman"/>
          <w:sz w:val="22"/>
        </w:rPr>
      </w:pPr>
    </w:p>
    <w:p w14:paraId="74765E7D" w14:textId="01CA5E3F" w:rsidR="00FA7426" w:rsidRPr="00082157" w:rsidRDefault="00504A40" w:rsidP="002067AB">
      <w:pPr>
        <w:jc w:val="left"/>
        <w:rPr>
          <w:rFonts w:ascii="Times New Roman" w:hAnsi="Times New Roman" w:cs="Times New Roman"/>
          <w:b/>
          <w:bCs/>
          <w:sz w:val="24"/>
          <w:szCs w:val="24"/>
        </w:rPr>
      </w:pPr>
      <w:r w:rsidRPr="00082157">
        <w:rPr>
          <w:rFonts w:ascii="Times New Roman" w:hAnsi="Times New Roman" w:cs="Times New Roman"/>
          <w:b/>
          <w:bCs/>
          <w:sz w:val="24"/>
          <w:szCs w:val="24"/>
        </w:rPr>
        <w:t>Five Analytical Questions</w:t>
      </w:r>
    </w:p>
    <w:p w14:paraId="286E8B8C" w14:textId="7688CAA0" w:rsidR="00504A40" w:rsidRPr="002067AB" w:rsidRDefault="00504A40" w:rsidP="002067AB">
      <w:pPr>
        <w:pStyle w:val="a9"/>
        <w:numPr>
          <w:ilvl w:val="0"/>
          <w:numId w:val="4"/>
        </w:numPr>
        <w:jc w:val="left"/>
        <w:rPr>
          <w:rFonts w:ascii="Times New Roman" w:hAnsi="Times New Roman" w:cs="Times New Roman"/>
          <w:sz w:val="22"/>
        </w:rPr>
      </w:pPr>
      <w:r w:rsidRPr="002067AB">
        <w:rPr>
          <w:rFonts w:ascii="Times New Roman" w:hAnsi="Times New Roman" w:cs="Times New Roman"/>
          <w:sz w:val="22"/>
        </w:rPr>
        <w:t xml:space="preserve">How does task success rate vary across different manipulation, locomotion, and assistance skills? </w:t>
      </w:r>
    </w:p>
    <w:p w14:paraId="33EC4204" w14:textId="05F10AB6" w:rsidR="00504A40" w:rsidRPr="002067AB" w:rsidRDefault="00504A40" w:rsidP="002067AB">
      <w:pPr>
        <w:pStyle w:val="a9"/>
        <w:numPr>
          <w:ilvl w:val="0"/>
          <w:numId w:val="4"/>
        </w:numPr>
        <w:jc w:val="left"/>
        <w:rPr>
          <w:rFonts w:ascii="Times New Roman" w:hAnsi="Times New Roman" w:cs="Times New Roman"/>
          <w:sz w:val="22"/>
        </w:rPr>
      </w:pPr>
      <w:r w:rsidRPr="002067AB">
        <w:rPr>
          <w:rFonts w:ascii="Times New Roman" w:hAnsi="Times New Roman" w:cs="Times New Roman"/>
          <w:sz w:val="22"/>
        </w:rPr>
        <w:lastRenderedPageBreak/>
        <w:t xml:space="preserve">How do joint-positioning error, actuator torque, and contact-force measurements relate to task failures or retries? </w:t>
      </w:r>
    </w:p>
    <w:p w14:paraId="09AD6A39" w14:textId="248CDDB6" w:rsidR="00504A40" w:rsidRPr="002067AB" w:rsidRDefault="00504A40" w:rsidP="002067AB">
      <w:pPr>
        <w:pStyle w:val="a9"/>
        <w:numPr>
          <w:ilvl w:val="0"/>
          <w:numId w:val="4"/>
        </w:numPr>
        <w:jc w:val="left"/>
        <w:rPr>
          <w:rFonts w:ascii="Times New Roman" w:hAnsi="Times New Roman" w:cs="Times New Roman"/>
          <w:sz w:val="22"/>
        </w:rPr>
      </w:pPr>
      <w:r w:rsidRPr="002067AB">
        <w:rPr>
          <w:rFonts w:ascii="Times New Roman" w:hAnsi="Times New Roman" w:cs="Times New Roman"/>
          <w:sz w:val="22"/>
        </w:rPr>
        <w:t xml:space="preserve">How does sim-to-real performance change across training iterations and different skill types? </w:t>
      </w:r>
    </w:p>
    <w:p w14:paraId="5CD0CD38" w14:textId="0685D19D" w:rsidR="00504A40" w:rsidRPr="002067AB" w:rsidRDefault="00504A40" w:rsidP="002067AB">
      <w:pPr>
        <w:pStyle w:val="a9"/>
        <w:numPr>
          <w:ilvl w:val="0"/>
          <w:numId w:val="4"/>
        </w:numPr>
        <w:jc w:val="left"/>
        <w:rPr>
          <w:rFonts w:ascii="Times New Roman" w:hAnsi="Times New Roman" w:cs="Times New Roman"/>
          <w:sz w:val="22"/>
        </w:rPr>
      </w:pPr>
      <w:r w:rsidRPr="002067AB">
        <w:rPr>
          <w:rFonts w:ascii="Times New Roman" w:hAnsi="Times New Roman" w:cs="Times New Roman"/>
          <w:sz w:val="22"/>
        </w:rPr>
        <w:t xml:space="preserve">How do task completion time and human-intervention rate vary across operating environments and task complexity levels? </w:t>
      </w:r>
    </w:p>
    <w:p w14:paraId="3492DA39" w14:textId="54FEEBBB" w:rsidR="00504A40" w:rsidRPr="002067AB" w:rsidRDefault="00504A40" w:rsidP="002067AB">
      <w:pPr>
        <w:pStyle w:val="a9"/>
        <w:numPr>
          <w:ilvl w:val="0"/>
          <w:numId w:val="4"/>
        </w:numPr>
        <w:jc w:val="left"/>
        <w:rPr>
          <w:rFonts w:ascii="Times New Roman" w:hAnsi="Times New Roman" w:cs="Times New Roman"/>
          <w:sz w:val="22"/>
        </w:rPr>
      </w:pPr>
      <w:r w:rsidRPr="002067AB">
        <w:rPr>
          <w:rFonts w:ascii="Times New Roman" w:hAnsi="Times New Roman" w:cs="Times New Roman"/>
          <w:sz w:val="22"/>
        </w:rPr>
        <w:t>How do STUM uncertainty scores and SEOM safety constraints affect whether a task is executed, verified by a human, or halted?</w:t>
      </w:r>
    </w:p>
    <w:p w14:paraId="3F081570" w14:textId="77777777" w:rsidR="00504A40" w:rsidRPr="002067AB" w:rsidRDefault="00504A40" w:rsidP="002067AB">
      <w:pPr>
        <w:jc w:val="left"/>
        <w:rPr>
          <w:rFonts w:ascii="Times New Roman" w:hAnsi="Times New Roman" w:cs="Times New Roman"/>
          <w:sz w:val="22"/>
        </w:rPr>
      </w:pPr>
    </w:p>
    <w:p w14:paraId="36DC7BDA" w14:textId="71FCC644" w:rsidR="00204263" w:rsidRPr="00082157" w:rsidRDefault="0021270E" w:rsidP="002067AB">
      <w:pPr>
        <w:jc w:val="left"/>
        <w:rPr>
          <w:rFonts w:ascii="Times New Roman" w:hAnsi="Times New Roman" w:cs="Times New Roman"/>
          <w:b/>
          <w:bCs/>
          <w:sz w:val="24"/>
          <w:szCs w:val="24"/>
        </w:rPr>
      </w:pPr>
      <w:r w:rsidRPr="00082157">
        <w:rPr>
          <w:rFonts w:ascii="Times New Roman" w:hAnsi="Times New Roman" w:cs="Times New Roman"/>
          <w:b/>
          <w:bCs/>
          <w:sz w:val="24"/>
          <w:szCs w:val="24"/>
        </w:rPr>
        <w:t>Public Proxy Data</w:t>
      </w:r>
    </w:p>
    <w:p w14:paraId="56F664FE" w14:textId="3AC08345" w:rsidR="00204263" w:rsidRDefault="00204263" w:rsidP="002067AB">
      <w:pPr>
        <w:jc w:val="left"/>
        <w:rPr>
          <w:rFonts w:ascii="Times New Roman" w:hAnsi="Times New Roman" w:cs="Times New Roman"/>
          <w:sz w:val="22"/>
        </w:rPr>
      </w:pPr>
      <w:r w:rsidRPr="002067AB">
        <w:rPr>
          <w:rFonts w:ascii="Times New Roman" w:hAnsi="Times New Roman" w:cs="Times New Roman"/>
          <w:sz w:val="22"/>
        </w:rPr>
        <w:t xml:space="preserve">The original comparable identified in the internship plan, Sarcos Robotics, is no longer an ideal proxy for Aido Humanoid. Sarcos was renamed Palladyne AI in 2024 and shifted its business focus away from proprietary robotic hardware toward commercializing robotics AI and machine-learning software. As a result, its current business and technical disclosures are less directly comparable with Aido Humanoid’s bipedal locomotion, whole-body control, manipulation, and humanoid-specific R&amp;D metrics. </w:t>
      </w:r>
    </w:p>
    <w:p w14:paraId="63AAF4AA" w14:textId="77777777" w:rsidR="00082157" w:rsidRPr="002067AB" w:rsidRDefault="00082157" w:rsidP="002067AB">
      <w:pPr>
        <w:jc w:val="left"/>
        <w:rPr>
          <w:rFonts w:ascii="Times New Roman" w:hAnsi="Times New Roman" w:cs="Times New Roman"/>
          <w:sz w:val="22"/>
        </w:rPr>
      </w:pPr>
    </w:p>
    <w:p w14:paraId="458D3E1D" w14:textId="77777777" w:rsidR="00204263" w:rsidRDefault="00204263" w:rsidP="002067AB">
      <w:pPr>
        <w:jc w:val="left"/>
        <w:rPr>
          <w:rFonts w:ascii="Times New Roman" w:hAnsi="Times New Roman" w:cs="Times New Roman"/>
          <w:sz w:val="22"/>
        </w:rPr>
      </w:pPr>
      <w:r w:rsidRPr="002067AB">
        <w:rPr>
          <w:rFonts w:ascii="Times New Roman" w:hAnsi="Times New Roman" w:cs="Times New Roman"/>
          <w:sz w:val="22"/>
        </w:rPr>
        <w:t xml:space="preserve">Unitree Robotics is therefore recommended as a more suitable primary technical proxy. Unitree’s G1 humanoid provides publicly available specifications on bipedal hardware, joint configuration, torque, depth sensing, 3D LiDAR, dexterous manipulation, and imitation- and reinforcement-learning-based control. These characteristics align more closely with Aido Humanoid’s planned motion-control, perception, manipulation, and embodied-AI capabilities. </w:t>
      </w:r>
    </w:p>
    <w:p w14:paraId="30402665" w14:textId="77777777" w:rsidR="00082157" w:rsidRPr="002067AB" w:rsidRDefault="00082157" w:rsidP="002067AB">
      <w:pPr>
        <w:jc w:val="left"/>
        <w:rPr>
          <w:rFonts w:ascii="Times New Roman" w:hAnsi="Times New Roman" w:cs="Times New Roman"/>
          <w:sz w:val="22"/>
        </w:rPr>
      </w:pPr>
    </w:p>
    <w:p w14:paraId="5694B035" w14:textId="77777777" w:rsidR="00204263" w:rsidRDefault="00204263" w:rsidP="002067AB">
      <w:pPr>
        <w:jc w:val="left"/>
        <w:rPr>
          <w:rFonts w:ascii="Times New Roman" w:hAnsi="Times New Roman" w:cs="Times New Roman"/>
          <w:sz w:val="22"/>
        </w:rPr>
      </w:pPr>
      <w:r w:rsidRPr="002067AB">
        <w:rPr>
          <w:rFonts w:ascii="Times New Roman" w:hAnsi="Times New Roman" w:cs="Times New Roman"/>
          <w:sz w:val="22"/>
        </w:rPr>
        <w:t xml:space="preserve">Tesla Optimus can serve as a supplementary comparable. Tesla describes Optimus as a general-purpose, autonomous bipedal humanoid whose development depends on balance, navigation, perception, and interaction with the physical world. These areas provide additional reference points for humanoid autonomy and task execution, although Tesla publicly discloses relatively limited granular robot-level performance data. </w:t>
      </w:r>
    </w:p>
    <w:p w14:paraId="339E3AE6" w14:textId="77777777" w:rsidR="00082157" w:rsidRPr="002067AB" w:rsidRDefault="00082157" w:rsidP="002067AB">
      <w:pPr>
        <w:jc w:val="left"/>
        <w:rPr>
          <w:rFonts w:ascii="Times New Roman" w:hAnsi="Times New Roman" w:cs="Times New Roman"/>
          <w:sz w:val="22"/>
        </w:rPr>
      </w:pPr>
    </w:p>
    <w:p w14:paraId="2138BAA5" w14:textId="77777777" w:rsidR="00204263" w:rsidRPr="002067AB" w:rsidRDefault="00204263" w:rsidP="002067AB">
      <w:pPr>
        <w:jc w:val="left"/>
        <w:rPr>
          <w:rFonts w:ascii="Times New Roman" w:hAnsi="Times New Roman" w:cs="Times New Roman"/>
          <w:sz w:val="22"/>
        </w:rPr>
      </w:pPr>
      <w:r w:rsidRPr="002067AB">
        <w:rPr>
          <w:rFonts w:ascii="Times New Roman" w:hAnsi="Times New Roman" w:cs="Times New Roman"/>
          <w:sz w:val="22"/>
        </w:rPr>
        <w:t>However, both Unitree and Tesla remain partial proxies. Publicly available information is weighted toward product specifications, demonstrations, and high-level technical capabilities rather than detailed R&amp;D datasets. Metrics such as per-task success rate, joint-positioning error distributions, training-iteration efficiency, human-intervention rates, and sim-to-real performance are not disclosed in sufficient detail for direct benchmarking. Later quantitative analysis would therefore require clearly labelled simulated data or supplementary robotics research benchmarks.</w:t>
      </w:r>
    </w:p>
    <w:p w14:paraId="5991E257" w14:textId="77777777" w:rsidR="00204263" w:rsidRPr="002067AB" w:rsidRDefault="00204263" w:rsidP="002067AB">
      <w:pPr>
        <w:jc w:val="left"/>
        <w:rPr>
          <w:rFonts w:ascii="Times New Roman" w:hAnsi="Times New Roman" w:cs="Times New Roman"/>
          <w:sz w:val="22"/>
        </w:rPr>
      </w:pPr>
    </w:p>
    <w:p w14:paraId="408A86BB" w14:textId="6AE6AA21" w:rsidR="00204263" w:rsidRPr="00082157" w:rsidRDefault="00204263" w:rsidP="002067AB">
      <w:pPr>
        <w:jc w:val="left"/>
        <w:rPr>
          <w:rFonts w:ascii="Times New Roman" w:hAnsi="Times New Roman" w:cs="Times New Roman"/>
          <w:b/>
          <w:bCs/>
          <w:sz w:val="24"/>
          <w:szCs w:val="24"/>
        </w:rPr>
      </w:pPr>
      <w:r w:rsidRPr="00082157">
        <w:rPr>
          <w:rFonts w:ascii="Times New Roman" w:hAnsi="Times New Roman" w:cs="Times New Roman"/>
          <w:b/>
          <w:bCs/>
          <w:sz w:val="24"/>
          <w:szCs w:val="24"/>
        </w:rPr>
        <w:t>Primary Data Quality Challenge</w:t>
      </w:r>
    </w:p>
    <w:p w14:paraId="2BB7CBCE" w14:textId="77777777" w:rsidR="00204263" w:rsidRDefault="00204263" w:rsidP="002067AB">
      <w:pPr>
        <w:jc w:val="left"/>
        <w:rPr>
          <w:rFonts w:ascii="Times New Roman" w:hAnsi="Times New Roman" w:cs="Times New Roman"/>
          <w:sz w:val="22"/>
        </w:rPr>
      </w:pPr>
      <w:r w:rsidRPr="00082157">
        <w:rPr>
          <w:rFonts w:ascii="Times New Roman" w:hAnsi="Times New Roman" w:cs="Times New Roman"/>
          <w:sz w:val="22"/>
        </w:rPr>
        <w:t>The primary data quality challenge is limited external validity caused by controlled-environment testing and sim-to-real domain shift.</w:t>
      </w:r>
      <w:r w:rsidRPr="002067AB">
        <w:rPr>
          <w:rFonts w:ascii="Times New Roman" w:hAnsi="Times New Roman" w:cs="Times New Roman"/>
          <w:sz w:val="22"/>
        </w:rPr>
        <w:t xml:space="preserve"> Aido Humanoid’s R&amp;D performance data may be generated primarily in simulation or structured test environments, where task conditions, objects, surfaces, lighting, and human interaction are more controlled than in real-world deployment. As a result, task success rates, joint-positioning accuracy, and training performance measured during development may overstate performance in less predictable </w:t>
      </w:r>
      <w:r w:rsidRPr="002067AB">
        <w:rPr>
          <w:rFonts w:ascii="Times New Roman" w:hAnsi="Times New Roman" w:cs="Times New Roman"/>
          <w:sz w:val="22"/>
        </w:rPr>
        <w:lastRenderedPageBreak/>
        <w:t>environments.</w:t>
      </w:r>
    </w:p>
    <w:p w14:paraId="3ED05D06" w14:textId="77777777" w:rsidR="00082157" w:rsidRPr="002067AB" w:rsidRDefault="00082157" w:rsidP="002067AB">
      <w:pPr>
        <w:jc w:val="left"/>
        <w:rPr>
          <w:rFonts w:ascii="Times New Roman" w:hAnsi="Times New Roman" w:cs="Times New Roman"/>
          <w:sz w:val="22"/>
        </w:rPr>
      </w:pPr>
    </w:p>
    <w:p w14:paraId="4512744E" w14:textId="77777777" w:rsidR="00204263" w:rsidRDefault="00204263" w:rsidP="002067AB">
      <w:pPr>
        <w:jc w:val="left"/>
        <w:rPr>
          <w:rFonts w:ascii="Times New Roman" w:hAnsi="Times New Roman" w:cs="Times New Roman"/>
          <w:sz w:val="22"/>
        </w:rPr>
      </w:pPr>
      <w:r w:rsidRPr="002067AB">
        <w:rPr>
          <w:rFonts w:ascii="Times New Roman" w:hAnsi="Times New Roman" w:cs="Times New Roman"/>
          <w:sz w:val="22"/>
        </w:rPr>
        <w:t>A related challenge is maintaining consistent multimodal and motion-control data across repeated experiments. Small differences in sensor calibration, actuator condition, task setup, or evaluation criteria can affect joint error, force measurements, completion time, and failure rates, making comparisons across training iterations difficult unless experimental conditions are carefully recorded and standardized.</w:t>
      </w:r>
    </w:p>
    <w:p w14:paraId="015007B1" w14:textId="77777777" w:rsidR="00082157" w:rsidRPr="002067AB" w:rsidRDefault="00082157" w:rsidP="002067AB">
      <w:pPr>
        <w:jc w:val="left"/>
        <w:rPr>
          <w:rFonts w:ascii="Times New Roman" w:hAnsi="Times New Roman" w:cs="Times New Roman"/>
          <w:sz w:val="22"/>
        </w:rPr>
      </w:pPr>
    </w:p>
    <w:p w14:paraId="70049F56" w14:textId="77777777" w:rsidR="00204263" w:rsidRPr="002067AB" w:rsidRDefault="00204263" w:rsidP="002067AB">
      <w:pPr>
        <w:jc w:val="left"/>
        <w:rPr>
          <w:rFonts w:ascii="Times New Roman" w:hAnsi="Times New Roman" w:cs="Times New Roman"/>
          <w:sz w:val="22"/>
        </w:rPr>
      </w:pPr>
      <w:r w:rsidRPr="002067AB">
        <w:rPr>
          <w:rFonts w:ascii="Times New Roman" w:hAnsi="Times New Roman" w:cs="Times New Roman"/>
          <w:sz w:val="22"/>
        </w:rPr>
        <w:t>Because Aido Humanoid remains under active development, published performance figures should also be treated as engineering targets rather than validated production benchmarks.</w:t>
      </w:r>
    </w:p>
    <w:p w14:paraId="5689482E" w14:textId="77777777" w:rsidR="00204263" w:rsidRDefault="00204263" w:rsidP="002067AB">
      <w:pPr>
        <w:jc w:val="left"/>
        <w:rPr>
          <w:rFonts w:ascii="Times New Roman" w:hAnsi="Times New Roman" w:cs="Times New Roman"/>
          <w:sz w:val="22"/>
        </w:rPr>
      </w:pPr>
    </w:p>
    <w:p w14:paraId="09529220" w14:textId="77777777" w:rsidR="00082157" w:rsidRPr="002067AB" w:rsidRDefault="00082157" w:rsidP="00082157">
      <w:pPr>
        <w:jc w:val="left"/>
        <w:rPr>
          <w:rFonts w:ascii="Times New Roman" w:hAnsi="Times New Roman" w:cs="Times New Roman"/>
          <w:sz w:val="22"/>
        </w:rPr>
      </w:pPr>
      <w:r w:rsidRPr="002067AB">
        <w:rPr>
          <w:rFonts w:ascii="Times New Roman" w:hAnsi="Times New Roman" w:cs="Times New Roman"/>
          <w:b/>
          <w:bCs/>
          <w:sz w:val="22"/>
        </w:rPr>
        <w:t>Sources:</w:t>
      </w:r>
      <w:r w:rsidRPr="002067AB">
        <w:rPr>
          <w:rFonts w:ascii="Times New Roman" w:hAnsi="Times New Roman" w:cs="Times New Roman"/>
          <w:sz w:val="22"/>
        </w:rPr>
        <w:t xml:space="preserve"> Palladyne AI, corporate rebranding and business-pivot announcements; Unitree Robotics, G1 official product specifications; Tesla, AI &amp; Robotics — Optimus official page. Accessed September 2026.</w:t>
      </w:r>
    </w:p>
    <w:p w14:paraId="0ACD8421" w14:textId="77777777" w:rsidR="00082157" w:rsidRDefault="00082157" w:rsidP="002067AB">
      <w:pPr>
        <w:jc w:val="left"/>
        <w:rPr>
          <w:rFonts w:ascii="Times New Roman" w:hAnsi="Times New Roman" w:cs="Times New Roman"/>
          <w:sz w:val="22"/>
        </w:rPr>
      </w:pPr>
    </w:p>
    <w:p w14:paraId="62938CD1" w14:textId="77777777" w:rsidR="0080596A" w:rsidRDefault="0080596A" w:rsidP="002067AB">
      <w:pPr>
        <w:jc w:val="left"/>
        <w:rPr>
          <w:rFonts w:ascii="Times New Roman" w:hAnsi="Times New Roman" w:cs="Times New Roman"/>
          <w:b/>
          <w:bCs/>
          <w:sz w:val="28"/>
          <w:szCs w:val="28"/>
        </w:rPr>
      </w:pPr>
    </w:p>
    <w:p w14:paraId="53679DDF" w14:textId="77777777" w:rsidR="0080596A" w:rsidRDefault="0080596A" w:rsidP="002067AB">
      <w:pPr>
        <w:jc w:val="left"/>
        <w:rPr>
          <w:rFonts w:ascii="Times New Roman" w:hAnsi="Times New Roman" w:cs="Times New Roman"/>
          <w:b/>
          <w:bCs/>
          <w:sz w:val="28"/>
          <w:szCs w:val="28"/>
        </w:rPr>
      </w:pPr>
    </w:p>
    <w:p w14:paraId="77B93178" w14:textId="77777777" w:rsidR="0080596A" w:rsidRDefault="0080596A" w:rsidP="002067AB">
      <w:pPr>
        <w:jc w:val="left"/>
        <w:rPr>
          <w:rFonts w:ascii="Times New Roman" w:hAnsi="Times New Roman" w:cs="Times New Roman"/>
          <w:b/>
          <w:bCs/>
          <w:sz w:val="28"/>
          <w:szCs w:val="28"/>
        </w:rPr>
      </w:pPr>
    </w:p>
    <w:p w14:paraId="5371B7D3" w14:textId="77777777" w:rsidR="0080596A" w:rsidRDefault="0080596A" w:rsidP="002067AB">
      <w:pPr>
        <w:jc w:val="left"/>
        <w:rPr>
          <w:rFonts w:ascii="Times New Roman" w:hAnsi="Times New Roman" w:cs="Times New Roman"/>
          <w:b/>
          <w:bCs/>
          <w:sz w:val="28"/>
          <w:szCs w:val="28"/>
        </w:rPr>
      </w:pPr>
    </w:p>
    <w:p w14:paraId="19776C8A" w14:textId="77777777" w:rsidR="0080596A" w:rsidRDefault="0080596A" w:rsidP="002067AB">
      <w:pPr>
        <w:jc w:val="left"/>
        <w:rPr>
          <w:rFonts w:ascii="Times New Roman" w:hAnsi="Times New Roman" w:cs="Times New Roman"/>
          <w:b/>
          <w:bCs/>
          <w:sz w:val="28"/>
          <w:szCs w:val="28"/>
        </w:rPr>
      </w:pPr>
    </w:p>
    <w:p w14:paraId="2752A50C" w14:textId="77777777" w:rsidR="0080596A" w:rsidRDefault="0080596A" w:rsidP="002067AB">
      <w:pPr>
        <w:jc w:val="left"/>
        <w:rPr>
          <w:rFonts w:ascii="Times New Roman" w:hAnsi="Times New Roman" w:cs="Times New Roman"/>
          <w:b/>
          <w:bCs/>
          <w:sz w:val="28"/>
          <w:szCs w:val="28"/>
        </w:rPr>
      </w:pPr>
    </w:p>
    <w:p w14:paraId="1541B071" w14:textId="77777777" w:rsidR="0080596A" w:rsidRDefault="0080596A" w:rsidP="002067AB">
      <w:pPr>
        <w:jc w:val="left"/>
        <w:rPr>
          <w:rFonts w:ascii="Times New Roman" w:hAnsi="Times New Roman" w:cs="Times New Roman"/>
          <w:b/>
          <w:bCs/>
          <w:sz w:val="28"/>
          <w:szCs w:val="28"/>
        </w:rPr>
      </w:pPr>
    </w:p>
    <w:p w14:paraId="5D6DD471" w14:textId="77777777" w:rsidR="0080596A" w:rsidRDefault="0080596A" w:rsidP="002067AB">
      <w:pPr>
        <w:jc w:val="left"/>
        <w:rPr>
          <w:rFonts w:ascii="Times New Roman" w:hAnsi="Times New Roman" w:cs="Times New Roman"/>
          <w:b/>
          <w:bCs/>
          <w:sz w:val="28"/>
          <w:szCs w:val="28"/>
        </w:rPr>
      </w:pPr>
    </w:p>
    <w:p w14:paraId="006F95F9" w14:textId="77777777" w:rsidR="0080596A" w:rsidRDefault="0080596A" w:rsidP="002067AB">
      <w:pPr>
        <w:jc w:val="left"/>
        <w:rPr>
          <w:rFonts w:ascii="Times New Roman" w:hAnsi="Times New Roman" w:cs="Times New Roman"/>
          <w:b/>
          <w:bCs/>
          <w:sz w:val="28"/>
          <w:szCs w:val="28"/>
        </w:rPr>
      </w:pPr>
    </w:p>
    <w:p w14:paraId="4E2E0231" w14:textId="77777777" w:rsidR="0080596A" w:rsidRDefault="0080596A" w:rsidP="002067AB">
      <w:pPr>
        <w:jc w:val="left"/>
        <w:rPr>
          <w:rFonts w:ascii="Times New Roman" w:hAnsi="Times New Roman" w:cs="Times New Roman"/>
          <w:b/>
          <w:bCs/>
          <w:sz w:val="28"/>
          <w:szCs w:val="28"/>
        </w:rPr>
      </w:pPr>
    </w:p>
    <w:p w14:paraId="4AC7A851" w14:textId="77777777" w:rsidR="0080596A" w:rsidRDefault="0080596A" w:rsidP="002067AB">
      <w:pPr>
        <w:jc w:val="left"/>
        <w:rPr>
          <w:rFonts w:ascii="Times New Roman" w:hAnsi="Times New Roman" w:cs="Times New Roman"/>
          <w:b/>
          <w:bCs/>
          <w:sz w:val="28"/>
          <w:szCs w:val="28"/>
        </w:rPr>
      </w:pPr>
    </w:p>
    <w:p w14:paraId="1D47A19A" w14:textId="77777777" w:rsidR="0080596A" w:rsidRDefault="0080596A" w:rsidP="002067AB">
      <w:pPr>
        <w:jc w:val="left"/>
        <w:rPr>
          <w:rFonts w:ascii="Times New Roman" w:hAnsi="Times New Roman" w:cs="Times New Roman"/>
          <w:b/>
          <w:bCs/>
          <w:sz w:val="28"/>
          <w:szCs w:val="28"/>
        </w:rPr>
      </w:pPr>
    </w:p>
    <w:p w14:paraId="4960FFA0" w14:textId="77777777" w:rsidR="0080596A" w:rsidRDefault="0080596A" w:rsidP="002067AB">
      <w:pPr>
        <w:jc w:val="left"/>
        <w:rPr>
          <w:rFonts w:ascii="Times New Roman" w:hAnsi="Times New Roman" w:cs="Times New Roman"/>
          <w:b/>
          <w:bCs/>
          <w:sz w:val="28"/>
          <w:szCs w:val="28"/>
        </w:rPr>
      </w:pPr>
    </w:p>
    <w:p w14:paraId="67C3053F" w14:textId="77777777" w:rsidR="0080596A" w:rsidRDefault="0080596A" w:rsidP="002067AB">
      <w:pPr>
        <w:jc w:val="left"/>
        <w:rPr>
          <w:rFonts w:ascii="Times New Roman" w:hAnsi="Times New Roman" w:cs="Times New Roman"/>
          <w:b/>
          <w:bCs/>
          <w:sz w:val="28"/>
          <w:szCs w:val="28"/>
        </w:rPr>
      </w:pPr>
    </w:p>
    <w:p w14:paraId="73B94A71" w14:textId="77777777" w:rsidR="0080596A" w:rsidRDefault="0080596A" w:rsidP="002067AB">
      <w:pPr>
        <w:jc w:val="left"/>
        <w:rPr>
          <w:rFonts w:ascii="Times New Roman" w:hAnsi="Times New Roman" w:cs="Times New Roman"/>
          <w:b/>
          <w:bCs/>
          <w:sz w:val="28"/>
          <w:szCs w:val="28"/>
        </w:rPr>
      </w:pPr>
    </w:p>
    <w:p w14:paraId="5AB1D811" w14:textId="2669B66E" w:rsidR="0080596A" w:rsidRDefault="0080596A" w:rsidP="0080596A">
      <w:pPr>
        <w:jc w:val="center"/>
        <w:rPr>
          <w:rFonts w:ascii="Times New Roman" w:hAnsi="Times New Roman" w:cs="Times New Roman"/>
          <w:b/>
          <w:bCs/>
          <w:sz w:val="28"/>
          <w:szCs w:val="28"/>
        </w:rPr>
      </w:pPr>
      <w:r w:rsidRPr="0080596A">
        <w:rPr>
          <w:rFonts w:ascii="Times New Roman" w:hAnsi="Times New Roman" w:cs="Times New Roman" w:hint="eastAsia"/>
          <w:b/>
          <w:bCs/>
          <w:sz w:val="28"/>
          <w:szCs w:val="28"/>
        </w:rPr>
        <w:lastRenderedPageBreak/>
        <w:t>Reference</w:t>
      </w:r>
    </w:p>
    <w:p w14:paraId="735802BA" w14:textId="77777777" w:rsidR="0080596A" w:rsidRPr="0080596A" w:rsidRDefault="0080596A" w:rsidP="0080596A">
      <w:pPr>
        <w:jc w:val="left"/>
        <w:rPr>
          <w:rFonts w:ascii="Times New Roman" w:hAnsi="Times New Roman" w:cs="Times New Roman"/>
          <w:sz w:val="22"/>
        </w:rPr>
      </w:pPr>
      <w:r w:rsidRPr="0080596A">
        <w:rPr>
          <w:rFonts w:ascii="Times New Roman" w:hAnsi="Times New Roman" w:cs="Times New Roman"/>
          <w:sz w:val="22"/>
        </w:rPr>
        <w:t>InGen Dynamics. “Aido Rover.” Official product website. Accessed September 9, 2026.</w:t>
      </w:r>
    </w:p>
    <w:p w14:paraId="126D82EC" w14:textId="77777777" w:rsidR="0080596A" w:rsidRPr="0080596A" w:rsidRDefault="0080596A" w:rsidP="0080596A">
      <w:pPr>
        <w:jc w:val="left"/>
        <w:rPr>
          <w:rFonts w:ascii="Times New Roman" w:hAnsi="Times New Roman" w:cs="Times New Roman"/>
          <w:sz w:val="22"/>
        </w:rPr>
      </w:pPr>
      <w:r w:rsidRPr="0080596A">
        <w:rPr>
          <w:rFonts w:ascii="Times New Roman" w:hAnsi="Times New Roman" w:cs="Times New Roman"/>
          <w:sz w:val="22"/>
        </w:rPr>
        <w:t>InGen Dynamics. “Fari.” Official product website. Accessed September 2026.</w:t>
      </w:r>
    </w:p>
    <w:p w14:paraId="0E445A33" w14:textId="77777777" w:rsidR="0080596A" w:rsidRPr="0080596A" w:rsidRDefault="0080596A" w:rsidP="0080596A">
      <w:pPr>
        <w:jc w:val="left"/>
        <w:rPr>
          <w:rFonts w:ascii="Times New Roman" w:hAnsi="Times New Roman" w:cs="Times New Roman"/>
          <w:sz w:val="22"/>
        </w:rPr>
      </w:pPr>
      <w:r w:rsidRPr="0080596A">
        <w:rPr>
          <w:rFonts w:ascii="Times New Roman" w:hAnsi="Times New Roman" w:cs="Times New Roman"/>
          <w:sz w:val="22"/>
        </w:rPr>
        <w:t>InGen Dynamics. “Sentinel Prime AI.” Official product website. Accessed September 2026.</w:t>
      </w:r>
    </w:p>
    <w:p w14:paraId="6F450E6C" w14:textId="77777777" w:rsidR="0080596A" w:rsidRPr="0080596A" w:rsidRDefault="0080596A" w:rsidP="0080596A">
      <w:pPr>
        <w:jc w:val="left"/>
        <w:rPr>
          <w:rFonts w:ascii="Times New Roman" w:hAnsi="Times New Roman" w:cs="Times New Roman"/>
          <w:sz w:val="22"/>
        </w:rPr>
      </w:pPr>
      <w:r w:rsidRPr="0080596A">
        <w:rPr>
          <w:rFonts w:ascii="Times New Roman" w:hAnsi="Times New Roman" w:cs="Times New Roman"/>
          <w:sz w:val="22"/>
        </w:rPr>
        <w:t>InGen Dynamics. “Senpai.” Official product website. Accessed September 10, 2026.</w:t>
      </w:r>
    </w:p>
    <w:p w14:paraId="47473268" w14:textId="77777777" w:rsidR="0080596A" w:rsidRPr="0080596A" w:rsidRDefault="0080596A" w:rsidP="0080596A">
      <w:pPr>
        <w:jc w:val="left"/>
        <w:rPr>
          <w:rFonts w:ascii="Times New Roman" w:hAnsi="Times New Roman" w:cs="Times New Roman"/>
          <w:sz w:val="22"/>
        </w:rPr>
      </w:pPr>
      <w:r w:rsidRPr="0080596A">
        <w:rPr>
          <w:rFonts w:ascii="Times New Roman" w:hAnsi="Times New Roman" w:cs="Times New Roman"/>
          <w:sz w:val="22"/>
        </w:rPr>
        <w:t>InGen Dynamics. “Aido Humanoid.” Official product website. Accessed September 2026.</w:t>
      </w:r>
    </w:p>
    <w:p w14:paraId="11658C49" w14:textId="77777777" w:rsidR="0080596A" w:rsidRPr="0080596A" w:rsidRDefault="0080596A" w:rsidP="0080596A">
      <w:pPr>
        <w:jc w:val="left"/>
        <w:rPr>
          <w:rFonts w:ascii="Times New Roman" w:hAnsi="Times New Roman" w:cs="Times New Roman"/>
          <w:sz w:val="22"/>
        </w:rPr>
      </w:pPr>
    </w:p>
    <w:p w14:paraId="7FC39173" w14:textId="77777777" w:rsidR="0080596A" w:rsidRPr="0080596A" w:rsidRDefault="0080596A" w:rsidP="0080596A">
      <w:pPr>
        <w:jc w:val="left"/>
        <w:rPr>
          <w:rFonts w:ascii="Times New Roman" w:hAnsi="Times New Roman" w:cs="Times New Roman"/>
          <w:sz w:val="22"/>
        </w:rPr>
      </w:pPr>
      <w:r w:rsidRPr="0080596A">
        <w:rPr>
          <w:rFonts w:ascii="Times New Roman" w:hAnsi="Times New Roman" w:cs="Times New Roman"/>
          <w:sz w:val="22"/>
        </w:rPr>
        <w:t>Knightscope, Inc. Annual Report on Form 10-K for the Year Ended December 31, 2025. Accessed September 9, 2026.</w:t>
      </w:r>
    </w:p>
    <w:p w14:paraId="0CAFED2E" w14:textId="77777777" w:rsidR="0080596A" w:rsidRPr="0080596A" w:rsidRDefault="0080596A" w:rsidP="0080596A">
      <w:pPr>
        <w:jc w:val="left"/>
        <w:rPr>
          <w:rFonts w:ascii="Times New Roman" w:hAnsi="Times New Roman" w:cs="Times New Roman"/>
          <w:sz w:val="22"/>
        </w:rPr>
      </w:pPr>
      <w:r w:rsidRPr="0080596A">
        <w:rPr>
          <w:rFonts w:ascii="Times New Roman" w:hAnsi="Times New Roman" w:cs="Times New Roman"/>
          <w:sz w:val="22"/>
        </w:rPr>
        <w:t>Knightscope, Inc. Quarterly Report on Form 10-Q for the Quarter Ended June 30, 2026. Accessed September 9, 2026.</w:t>
      </w:r>
    </w:p>
    <w:p w14:paraId="542AAFB0" w14:textId="77777777" w:rsidR="0080596A" w:rsidRPr="0080596A" w:rsidRDefault="0080596A" w:rsidP="0080596A">
      <w:pPr>
        <w:jc w:val="left"/>
        <w:rPr>
          <w:rFonts w:ascii="Times New Roman" w:hAnsi="Times New Roman" w:cs="Times New Roman"/>
          <w:sz w:val="22"/>
        </w:rPr>
      </w:pPr>
      <w:r w:rsidRPr="0080596A">
        <w:rPr>
          <w:rFonts w:ascii="Times New Roman" w:hAnsi="Times New Roman" w:cs="Times New Roman"/>
          <w:sz w:val="22"/>
        </w:rPr>
        <w:t>Knightscope, Inc. Q2 2026 Investor Presentation. Accessed September 9, 2026.</w:t>
      </w:r>
    </w:p>
    <w:p w14:paraId="04A2D2B3" w14:textId="77777777" w:rsidR="0080596A" w:rsidRPr="0080596A" w:rsidRDefault="0080596A" w:rsidP="0080596A">
      <w:pPr>
        <w:jc w:val="left"/>
        <w:rPr>
          <w:rFonts w:ascii="Times New Roman" w:hAnsi="Times New Roman" w:cs="Times New Roman"/>
          <w:sz w:val="22"/>
        </w:rPr>
      </w:pPr>
    </w:p>
    <w:p w14:paraId="7579D5BF" w14:textId="77777777" w:rsidR="0080596A" w:rsidRPr="0080596A" w:rsidRDefault="0080596A" w:rsidP="0080596A">
      <w:pPr>
        <w:jc w:val="left"/>
        <w:rPr>
          <w:rFonts w:ascii="Times New Roman" w:hAnsi="Times New Roman" w:cs="Times New Roman"/>
          <w:sz w:val="22"/>
        </w:rPr>
      </w:pPr>
      <w:r w:rsidRPr="0080596A">
        <w:rPr>
          <w:rFonts w:ascii="Times New Roman" w:hAnsi="Times New Roman" w:cs="Times New Roman"/>
          <w:sz w:val="22"/>
        </w:rPr>
        <w:t>AARP Research. 2026 Tech Trends and Adults 50-Plus. 2025. Accessed September 2026.</w:t>
      </w:r>
    </w:p>
    <w:p w14:paraId="5E09ED7B" w14:textId="77777777" w:rsidR="0080596A" w:rsidRPr="0080596A" w:rsidRDefault="0080596A" w:rsidP="0080596A">
      <w:pPr>
        <w:jc w:val="left"/>
        <w:rPr>
          <w:rFonts w:ascii="Times New Roman" w:hAnsi="Times New Roman" w:cs="Times New Roman"/>
          <w:sz w:val="22"/>
        </w:rPr>
      </w:pPr>
    </w:p>
    <w:p w14:paraId="5E0EE3B9" w14:textId="3DE87381" w:rsidR="0080596A" w:rsidRPr="0080596A" w:rsidRDefault="0080596A" w:rsidP="0080596A">
      <w:pPr>
        <w:jc w:val="left"/>
        <w:rPr>
          <w:rFonts w:ascii="Times New Roman" w:hAnsi="Times New Roman" w:cs="Times New Roman"/>
          <w:sz w:val="22"/>
        </w:rPr>
      </w:pPr>
      <w:r w:rsidRPr="0080596A">
        <w:rPr>
          <w:rFonts w:ascii="Times New Roman" w:hAnsi="Times New Roman" w:cs="Times New Roman"/>
          <w:sz w:val="22"/>
        </w:rPr>
        <w:t>Lu, S., Nuryana, Z., Ni, X., Xu, W., &amp; Alias, M. N. “A Decade of Educational Robotics: Trends and SDG Contributions.” Humanities and Social Sciences Communications, 2025. Accessed September 2026.</w:t>
      </w:r>
    </w:p>
    <w:sectPr w:rsidR="0080596A" w:rsidRPr="0080596A" w:rsidSect="00576998">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60207" w14:textId="77777777" w:rsidR="00F5120E" w:rsidRDefault="00F5120E" w:rsidP="00BB1C3C">
      <w:r>
        <w:separator/>
      </w:r>
    </w:p>
  </w:endnote>
  <w:endnote w:type="continuationSeparator" w:id="0">
    <w:p w14:paraId="6BE4FB82" w14:textId="77777777" w:rsidR="00F5120E" w:rsidRDefault="00F5120E" w:rsidP="00BB1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DFC8F" w14:textId="77777777" w:rsidR="00F5120E" w:rsidRDefault="00F5120E" w:rsidP="00BB1C3C">
      <w:r>
        <w:separator/>
      </w:r>
    </w:p>
  </w:footnote>
  <w:footnote w:type="continuationSeparator" w:id="0">
    <w:p w14:paraId="2AE6C76D" w14:textId="77777777" w:rsidR="00F5120E" w:rsidRDefault="00F5120E" w:rsidP="00BB1C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93FD8"/>
    <w:multiLevelType w:val="hybridMultilevel"/>
    <w:tmpl w:val="FB1C0F2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0AA2169"/>
    <w:multiLevelType w:val="hybridMultilevel"/>
    <w:tmpl w:val="DAD222C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BCA6CD8"/>
    <w:multiLevelType w:val="hybridMultilevel"/>
    <w:tmpl w:val="CFFCB25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5193928"/>
    <w:multiLevelType w:val="hybridMultilevel"/>
    <w:tmpl w:val="C50033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043C31"/>
    <w:multiLevelType w:val="hybridMultilevel"/>
    <w:tmpl w:val="B7BC4B1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14354853">
    <w:abstractNumId w:val="0"/>
  </w:num>
  <w:num w:numId="2" w16cid:durableId="2098865412">
    <w:abstractNumId w:val="1"/>
  </w:num>
  <w:num w:numId="3" w16cid:durableId="1463302747">
    <w:abstractNumId w:val="3"/>
  </w:num>
  <w:num w:numId="4" w16cid:durableId="1902248340">
    <w:abstractNumId w:val="2"/>
  </w:num>
  <w:num w:numId="5" w16cid:durableId="4908310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86C58"/>
    <w:rsid w:val="00052EE4"/>
    <w:rsid w:val="000778D0"/>
    <w:rsid w:val="00082157"/>
    <w:rsid w:val="000A4033"/>
    <w:rsid w:val="00107E4D"/>
    <w:rsid w:val="00120CCC"/>
    <w:rsid w:val="00153AE2"/>
    <w:rsid w:val="00204263"/>
    <w:rsid w:val="002067AB"/>
    <w:rsid w:val="0021270E"/>
    <w:rsid w:val="002334E7"/>
    <w:rsid w:val="00353F20"/>
    <w:rsid w:val="0039736D"/>
    <w:rsid w:val="00497B24"/>
    <w:rsid w:val="004E3841"/>
    <w:rsid w:val="00504A40"/>
    <w:rsid w:val="00567324"/>
    <w:rsid w:val="00576998"/>
    <w:rsid w:val="005D2134"/>
    <w:rsid w:val="0064302F"/>
    <w:rsid w:val="0066628B"/>
    <w:rsid w:val="00687C6E"/>
    <w:rsid w:val="00690A7B"/>
    <w:rsid w:val="006C45E0"/>
    <w:rsid w:val="007755A2"/>
    <w:rsid w:val="00786C58"/>
    <w:rsid w:val="007D1A8F"/>
    <w:rsid w:val="0080596A"/>
    <w:rsid w:val="00810BF7"/>
    <w:rsid w:val="00903C2A"/>
    <w:rsid w:val="009E2914"/>
    <w:rsid w:val="00A27392"/>
    <w:rsid w:val="00AC684A"/>
    <w:rsid w:val="00BB0DDB"/>
    <w:rsid w:val="00BB1C3C"/>
    <w:rsid w:val="00C26132"/>
    <w:rsid w:val="00C41E29"/>
    <w:rsid w:val="00D93363"/>
    <w:rsid w:val="00DE0BE6"/>
    <w:rsid w:val="00E61328"/>
    <w:rsid w:val="00F5120E"/>
    <w:rsid w:val="00FA63DD"/>
    <w:rsid w:val="00FA74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1CD14"/>
  <w15:chartTrackingRefBased/>
  <w15:docId w15:val="{5CCAD038-160E-4462-AD2B-825920A65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6C5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86C5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86C5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86C5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86C5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786C5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86C5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6C5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86C5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6C5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86C5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86C5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86C58"/>
    <w:rPr>
      <w:rFonts w:cstheme="majorBidi"/>
      <w:color w:val="0F4761" w:themeColor="accent1" w:themeShade="BF"/>
      <w:sz w:val="28"/>
      <w:szCs w:val="28"/>
    </w:rPr>
  </w:style>
  <w:style w:type="character" w:customStyle="1" w:styleId="50">
    <w:name w:val="标题 5 字符"/>
    <w:basedOn w:val="a0"/>
    <w:link w:val="5"/>
    <w:uiPriority w:val="9"/>
    <w:semiHidden/>
    <w:rsid w:val="00786C58"/>
    <w:rPr>
      <w:rFonts w:cstheme="majorBidi"/>
      <w:color w:val="0F4761" w:themeColor="accent1" w:themeShade="BF"/>
      <w:sz w:val="24"/>
      <w:szCs w:val="24"/>
    </w:rPr>
  </w:style>
  <w:style w:type="character" w:customStyle="1" w:styleId="60">
    <w:name w:val="标题 6 字符"/>
    <w:basedOn w:val="a0"/>
    <w:link w:val="6"/>
    <w:uiPriority w:val="9"/>
    <w:semiHidden/>
    <w:rsid w:val="00786C58"/>
    <w:rPr>
      <w:rFonts w:cstheme="majorBidi"/>
      <w:b/>
      <w:bCs/>
      <w:color w:val="0F4761" w:themeColor="accent1" w:themeShade="BF"/>
    </w:rPr>
  </w:style>
  <w:style w:type="character" w:customStyle="1" w:styleId="70">
    <w:name w:val="标题 7 字符"/>
    <w:basedOn w:val="a0"/>
    <w:link w:val="7"/>
    <w:uiPriority w:val="9"/>
    <w:semiHidden/>
    <w:rsid w:val="00786C58"/>
    <w:rPr>
      <w:rFonts w:cstheme="majorBidi"/>
      <w:b/>
      <w:bCs/>
      <w:color w:val="595959" w:themeColor="text1" w:themeTint="A6"/>
    </w:rPr>
  </w:style>
  <w:style w:type="character" w:customStyle="1" w:styleId="80">
    <w:name w:val="标题 8 字符"/>
    <w:basedOn w:val="a0"/>
    <w:link w:val="8"/>
    <w:uiPriority w:val="9"/>
    <w:semiHidden/>
    <w:rsid w:val="00786C58"/>
    <w:rPr>
      <w:rFonts w:cstheme="majorBidi"/>
      <w:color w:val="595959" w:themeColor="text1" w:themeTint="A6"/>
    </w:rPr>
  </w:style>
  <w:style w:type="character" w:customStyle="1" w:styleId="90">
    <w:name w:val="标题 9 字符"/>
    <w:basedOn w:val="a0"/>
    <w:link w:val="9"/>
    <w:uiPriority w:val="9"/>
    <w:semiHidden/>
    <w:rsid w:val="00786C58"/>
    <w:rPr>
      <w:rFonts w:eastAsiaTheme="majorEastAsia" w:cstheme="majorBidi"/>
      <w:color w:val="595959" w:themeColor="text1" w:themeTint="A6"/>
    </w:rPr>
  </w:style>
  <w:style w:type="paragraph" w:styleId="a3">
    <w:name w:val="Title"/>
    <w:basedOn w:val="a"/>
    <w:next w:val="a"/>
    <w:link w:val="a4"/>
    <w:uiPriority w:val="10"/>
    <w:qFormat/>
    <w:rsid w:val="00786C5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6C5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6C5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6C5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6C58"/>
    <w:pPr>
      <w:spacing w:before="160" w:after="160"/>
      <w:jc w:val="center"/>
    </w:pPr>
    <w:rPr>
      <w:i/>
      <w:iCs/>
      <w:color w:val="404040" w:themeColor="text1" w:themeTint="BF"/>
    </w:rPr>
  </w:style>
  <w:style w:type="character" w:customStyle="1" w:styleId="a8">
    <w:name w:val="引用 字符"/>
    <w:basedOn w:val="a0"/>
    <w:link w:val="a7"/>
    <w:uiPriority w:val="29"/>
    <w:rsid w:val="00786C58"/>
    <w:rPr>
      <w:i/>
      <w:iCs/>
      <w:color w:val="404040" w:themeColor="text1" w:themeTint="BF"/>
    </w:rPr>
  </w:style>
  <w:style w:type="paragraph" w:styleId="a9">
    <w:name w:val="List Paragraph"/>
    <w:basedOn w:val="a"/>
    <w:uiPriority w:val="34"/>
    <w:qFormat/>
    <w:rsid w:val="00786C58"/>
    <w:pPr>
      <w:ind w:left="720"/>
      <w:contextualSpacing/>
    </w:pPr>
  </w:style>
  <w:style w:type="character" w:styleId="aa">
    <w:name w:val="Intense Emphasis"/>
    <w:basedOn w:val="a0"/>
    <w:uiPriority w:val="21"/>
    <w:qFormat/>
    <w:rsid w:val="00786C58"/>
    <w:rPr>
      <w:i/>
      <w:iCs/>
      <w:color w:val="0F4761" w:themeColor="accent1" w:themeShade="BF"/>
    </w:rPr>
  </w:style>
  <w:style w:type="paragraph" w:styleId="ab">
    <w:name w:val="Intense Quote"/>
    <w:basedOn w:val="a"/>
    <w:next w:val="a"/>
    <w:link w:val="ac"/>
    <w:uiPriority w:val="30"/>
    <w:qFormat/>
    <w:rsid w:val="00786C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86C58"/>
    <w:rPr>
      <w:i/>
      <w:iCs/>
      <w:color w:val="0F4761" w:themeColor="accent1" w:themeShade="BF"/>
    </w:rPr>
  </w:style>
  <w:style w:type="character" w:styleId="ad">
    <w:name w:val="Intense Reference"/>
    <w:basedOn w:val="a0"/>
    <w:uiPriority w:val="32"/>
    <w:qFormat/>
    <w:rsid w:val="00786C58"/>
    <w:rPr>
      <w:b/>
      <w:bCs/>
      <w:smallCaps/>
      <w:color w:val="0F4761" w:themeColor="accent1" w:themeShade="BF"/>
      <w:spacing w:val="5"/>
    </w:rPr>
  </w:style>
  <w:style w:type="paragraph" w:styleId="ae">
    <w:name w:val="header"/>
    <w:basedOn w:val="a"/>
    <w:link w:val="af"/>
    <w:uiPriority w:val="99"/>
    <w:unhideWhenUsed/>
    <w:rsid w:val="00BB1C3C"/>
    <w:pPr>
      <w:tabs>
        <w:tab w:val="center" w:pos="4153"/>
        <w:tab w:val="right" w:pos="8306"/>
      </w:tabs>
      <w:snapToGrid w:val="0"/>
      <w:jc w:val="center"/>
    </w:pPr>
    <w:rPr>
      <w:sz w:val="18"/>
      <w:szCs w:val="18"/>
    </w:rPr>
  </w:style>
  <w:style w:type="character" w:customStyle="1" w:styleId="af">
    <w:name w:val="页眉 字符"/>
    <w:basedOn w:val="a0"/>
    <w:link w:val="ae"/>
    <w:uiPriority w:val="99"/>
    <w:rsid w:val="00BB1C3C"/>
    <w:rPr>
      <w:sz w:val="18"/>
      <w:szCs w:val="18"/>
    </w:rPr>
  </w:style>
  <w:style w:type="paragraph" w:styleId="af0">
    <w:name w:val="footer"/>
    <w:basedOn w:val="a"/>
    <w:link w:val="af1"/>
    <w:uiPriority w:val="99"/>
    <w:unhideWhenUsed/>
    <w:rsid w:val="00BB1C3C"/>
    <w:pPr>
      <w:tabs>
        <w:tab w:val="center" w:pos="4153"/>
        <w:tab w:val="right" w:pos="8306"/>
      </w:tabs>
      <w:snapToGrid w:val="0"/>
      <w:jc w:val="left"/>
    </w:pPr>
    <w:rPr>
      <w:sz w:val="18"/>
      <w:szCs w:val="18"/>
    </w:rPr>
  </w:style>
  <w:style w:type="character" w:customStyle="1" w:styleId="af1">
    <w:name w:val="页脚 字符"/>
    <w:basedOn w:val="a0"/>
    <w:link w:val="af0"/>
    <w:uiPriority w:val="99"/>
    <w:rsid w:val="00BB1C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516</TotalTime>
  <Pages>11</Pages>
  <Words>3535</Words>
  <Characters>23898</Characters>
  <Application>Microsoft Office Word</Application>
  <DocSecurity>0</DocSecurity>
  <Lines>442</Lines>
  <Paragraphs>132</Paragraphs>
  <ScaleCrop>false</ScaleCrop>
  <Company/>
  <LinksUpToDate>false</LinksUpToDate>
  <CharactersWithSpaces>27301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胤诚 张</dc:creator>
  <cp:keywords/>
  <dc:description/>
  <cp:lastModifiedBy>胤诚 张</cp:lastModifiedBy>
  <cp:revision>9</cp:revision>
  <dcterms:created xsi:type="dcterms:W3CDTF">2026-09-09T14:26:00Z</dcterms:created>
  <dcterms:modified xsi:type="dcterms:W3CDTF">2026-09-14T14:05:00Z</dcterms:modified>
</cp:coreProperties>
</file>