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FC94" w14:textId="77777777" w:rsidR="002843FA" w:rsidRPr="005E78AC" w:rsidRDefault="002843FA" w:rsidP="002843FA"/>
    <w:p w14:paraId="74458F42" w14:textId="286C5261" w:rsidR="002843FA" w:rsidRPr="005E78AC" w:rsidRDefault="002843FA" w:rsidP="002843FA">
      <w:pPr>
        <w:jc w:val="center"/>
        <w:rPr>
          <w:i/>
          <w:iCs/>
          <w:sz w:val="36"/>
          <w:szCs w:val="36"/>
        </w:rPr>
      </w:pPr>
      <w:r w:rsidRPr="005E78AC">
        <w:rPr>
          <w:i/>
          <w:iCs/>
          <w:sz w:val="36"/>
          <w:szCs w:val="36"/>
        </w:rPr>
        <w:t>Cahier des charges</w:t>
      </w:r>
    </w:p>
    <w:p w14:paraId="5EA12C2D" w14:textId="77777777" w:rsidR="00BD7347" w:rsidRPr="005E78AC" w:rsidRDefault="00BD7347" w:rsidP="002843FA">
      <w:pPr>
        <w:jc w:val="center"/>
        <w:rPr>
          <w:i/>
          <w:iCs/>
          <w:sz w:val="36"/>
          <w:szCs w:val="36"/>
        </w:rPr>
      </w:pPr>
    </w:p>
    <w:p w14:paraId="7B47BEE3" w14:textId="2DEC3E86" w:rsidR="00BD7347" w:rsidRPr="005E78AC" w:rsidRDefault="009E1098" w:rsidP="009E1098">
      <w:pPr>
        <w:jc w:val="center"/>
      </w:pPr>
      <w:r w:rsidRPr="005E78AC">
        <w:rPr>
          <w:rFonts w:asciiTheme="majorHAnsi" w:eastAsiaTheme="majorEastAsia" w:hAnsiTheme="majorHAnsi" w:cstheme="majorBidi"/>
          <w:spacing w:val="-10"/>
          <w:kern w:val="28"/>
          <w:sz w:val="56"/>
          <w:szCs w:val="56"/>
        </w:rPr>
        <w:t>Biomarqueurs pronostiques dans le cancer du côlon</w:t>
      </w:r>
    </w:p>
    <w:p w14:paraId="2A1FE2EB" w14:textId="77777777" w:rsidR="002843FA" w:rsidRPr="005E78AC" w:rsidRDefault="002843FA" w:rsidP="002843FA"/>
    <w:p w14:paraId="72108A33" w14:textId="5D4992EF" w:rsidR="00D73D96" w:rsidRPr="005E78AC" w:rsidRDefault="00D73D96" w:rsidP="00BA5C05">
      <w:pPr>
        <w:jc w:val="center"/>
      </w:pPr>
      <w:r w:rsidRPr="005E78AC">
        <w:t>Ekaterina Flin</w:t>
      </w:r>
    </w:p>
    <w:p w14:paraId="56F0CA56" w14:textId="6717DC37" w:rsidR="00BA5C05" w:rsidRPr="005E78AC" w:rsidRDefault="008E36F6" w:rsidP="00BA5C05">
      <w:pPr>
        <w:jc w:val="center"/>
      </w:pPr>
      <w:r w:rsidRPr="005E78AC">
        <w:t>21</w:t>
      </w:r>
      <w:r w:rsidR="00C32101" w:rsidRPr="005E78AC">
        <w:t>/10/202</w:t>
      </w:r>
      <w:r w:rsidRPr="005E78AC">
        <w:t>4</w:t>
      </w:r>
    </w:p>
    <w:p w14:paraId="7A472A56" w14:textId="77777777" w:rsidR="00513DEB" w:rsidRPr="005E78AC" w:rsidRDefault="00513DEB" w:rsidP="00C172B7"/>
    <w:p w14:paraId="5E3FCDB0" w14:textId="04EF830E" w:rsidR="006F0999" w:rsidRPr="005E78AC" w:rsidRDefault="006F0999" w:rsidP="00374C65">
      <w:pPr>
        <w:pBdr>
          <w:top w:val="single" w:sz="4" w:space="1" w:color="auto"/>
          <w:left w:val="single" w:sz="4" w:space="4" w:color="auto"/>
          <w:bottom w:val="single" w:sz="4" w:space="1" w:color="auto"/>
          <w:right w:val="single" w:sz="4" w:space="4" w:color="auto"/>
        </w:pBdr>
        <w:jc w:val="center"/>
        <w:rPr>
          <w:b/>
          <w:bCs/>
        </w:rPr>
      </w:pPr>
      <w:r w:rsidRPr="005E78AC">
        <w:rPr>
          <w:b/>
          <w:bCs/>
        </w:rPr>
        <w:t>Attention !</w:t>
      </w:r>
    </w:p>
    <w:p w14:paraId="4CE46F96" w14:textId="03FDA26A" w:rsidR="007E070B" w:rsidRPr="005E78AC" w:rsidRDefault="00374C65" w:rsidP="00374C65">
      <w:pPr>
        <w:pBdr>
          <w:top w:val="single" w:sz="4" w:space="1" w:color="auto"/>
          <w:left w:val="single" w:sz="4" w:space="4" w:color="auto"/>
          <w:bottom w:val="single" w:sz="4" w:space="1" w:color="auto"/>
          <w:right w:val="single" w:sz="4" w:space="4" w:color="auto"/>
        </w:pBdr>
        <w:jc w:val="center"/>
        <w:rPr>
          <w:b/>
          <w:bCs/>
        </w:rPr>
      </w:pPr>
      <w:r w:rsidRPr="005E78AC">
        <w:rPr>
          <w:b/>
          <w:bCs/>
        </w:rPr>
        <w:t>Les figures dans ce document sont données à titre d’exemple pour illustrer</w:t>
      </w:r>
      <w:r w:rsidR="008D27F2" w:rsidRPr="005E78AC">
        <w:rPr>
          <w:b/>
          <w:bCs/>
        </w:rPr>
        <w:t xml:space="preserve"> une représentation possible des</w:t>
      </w:r>
      <w:r w:rsidRPr="005E78AC">
        <w:rPr>
          <w:b/>
          <w:bCs/>
        </w:rPr>
        <w:t xml:space="preserve"> </w:t>
      </w:r>
      <w:r w:rsidR="008D27F2" w:rsidRPr="005E78AC">
        <w:rPr>
          <w:b/>
          <w:bCs/>
        </w:rPr>
        <w:t xml:space="preserve">résultats. Ces figures peuvent venir </w:t>
      </w:r>
      <w:r w:rsidRPr="005E78AC">
        <w:rPr>
          <w:b/>
          <w:bCs/>
        </w:rPr>
        <w:t>d’autres projets</w:t>
      </w:r>
      <w:r w:rsidR="008D27F2" w:rsidRPr="005E78AC">
        <w:rPr>
          <w:b/>
          <w:bCs/>
        </w:rPr>
        <w:t>, ce ne sont pas de « vrais » résultats</w:t>
      </w:r>
      <w:r w:rsidR="00A57424" w:rsidRPr="005E78AC">
        <w:rPr>
          <w:b/>
          <w:bCs/>
        </w:rPr>
        <w:t xml:space="preserve"> attendus</w:t>
      </w:r>
      <w:r w:rsidRPr="005E78AC">
        <w:rPr>
          <w:b/>
          <w:bCs/>
        </w:rPr>
        <w:t>.</w:t>
      </w:r>
    </w:p>
    <w:p w14:paraId="1507E1DD" w14:textId="17302B4B" w:rsidR="00513DEB" w:rsidRPr="005E78AC" w:rsidRDefault="00513DEB" w:rsidP="00C172B7"/>
    <w:p w14:paraId="2DF98E13" w14:textId="77777777" w:rsidR="00513DEB" w:rsidRPr="005E78AC" w:rsidRDefault="00513DEB" w:rsidP="00C172B7"/>
    <w:sdt>
      <w:sdtPr>
        <w:rPr>
          <w:rFonts w:asciiTheme="minorHAnsi" w:eastAsiaTheme="minorHAnsi" w:hAnsiTheme="minorHAnsi" w:cstheme="minorBidi"/>
          <w:color w:val="auto"/>
          <w:sz w:val="22"/>
          <w:szCs w:val="22"/>
          <w:lang w:val="fr-FR"/>
        </w:rPr>
        <w:id w:val="38026981"/>
        <w:docPartObj>
          <w:docPartGallery w:val="Table of Contents"/>
          <w:docPartUnique/>
        </w:docPartObj>
      </w:sdtPr>
      <w:sdtEndPr>
        <w:rPr>
          <w:b/>
          <w:bCs/>
          <w:noProof/>
        </w:rPr>
      </w:sdtEndPr>
      <w:sdtContent>
        <w:p w14:paraId="2847708C" w14:textId="2D323590" w:rsidR="00CB244E" w:rsidRPr="005E78AC" w:rsidRDefault="00CB244E">
          <w:pPr>
            <w:pStyle w:val="TOCHeading"/>
            <w:rPr>
              <w:lang w:val="fr-FR"/>
            </w:rPr>
          </w:pPr>
          <w:r w:rsidRPr="005E78AC">
            <w:rPr>
              <w:lang w:val="fr-FR"/>
            </w:rPr>
            <w:t>Table des matières</w:t>
          </w:r>
        </w:p>
        <w:p w14:paraId="1C9D7186" w14:textId="552826F2" w:rsidR="007243FF" w:rsidRDefault="00CB244E">
          <w:pPr>
            <w:pStyle w:val="TOC1"/>
            <w:tabs>
              <w:tab w:val="right" w:leader="dot" w:pos="9062"/>
            </w:tabs>
            <w:rPr>
              <w:rFonts w:eastAsiaTheme="minorEastAsia"/>
              <w:noProof/>
              <w:lang w:val="en-GB" w:eastAsia="en-GB"/>
            </w:rPr>
          </w:pPr>
          <w:r w:rsidRPr="005E78AC">
            <w:fldChar w:fldCharType="begin"/>
          </w:r>
          <w:r w:rsidRPr="005E78AC">
            <w:instrText xml:space="preserve"> TOC \o "1-3" \h \z \u </w:instrText>
          </w:r>
          <w:r w:rsidRPr="005E78AC">
            <w:fldChar w:fldCharType="separate"/>
          </w:r>
          <w:hyperlink w:anchor="_Toc180502281" w:history="1">
            <w:r w:rsidR="007243FF" w:rsidRPr="00143A10">
              <w:rPr>
                <w:rStyle w:val="Hyperlink"/>
                <w:noProof/>
              </w:rPr>
              <w:t>Données</w:t>
            </w:r>
            <w:r w:rsidR="007243FF">
              <w:rPr>
                <w:noProof/>
                <w:webHidden/>
              </w:rPr>
              <w:tab/>
            </w:r>
            <w:r w:rsidR="007243FF">
              <w:rPr>
                <w:noProof/>
                <w:webHidden/>
              </w:rPr>
              <w:fldChar w:fldCharType="begin"/>
            </w:r>
            <w:r w:rsidR="007243FF">
              <w:rPr>
                <w:noProof/>
                <w:webHidden/>
              </w:rPr>
              <w:instrText xml:space="preserve"> PAGEREF _Toc180502281 \h </w:instrText>
            </w:r>
            <w:r w:rsidR="007243FF">
              <w:rPr>
                <w:noProof/>
                <w:webHidden/>
              </w:rPr>
            </w:r>
            <w:r w:rsidR="007243FF">
              <w:rPr>
                <w:noProof/>
                <w:webHidden/>
              </w:rPr>
              <w:fldChar w:fldCharType="separate"/>
            </w:r>
            <w:r w:rsidR="007243FF">
              <w:rPr>
                <w:noProof/>
                <w:webHidden/>
              </w:rPr>
              <w:t>2</w:t>
            </w:r>
            <w:r w:rsidR="007243FF">
              <w:rPr>
                <w:noProof/>
                <w:webHidden/>
              </w:rPr>
              <w:fldChar w:fldCharType="end"/>
            </w:r>
          </w:hyperlink>
        </w:p>
        <w:p w14:paraId="5F18F12D" w14:textId="0AF54084" w:rsidR="007243FF" w:rsidRDefault="007243FF">
          <w:pPr>
            <w:pStyle w:val="TOC2"/>
            <w:tabs>
              <w:tab w:val="right" w:leader="dot" w:pos="9062"/>
            </w:tabs>
            <w:rPr>
              <w:rFonts w:eastAsiaTheme="minorEastAsia"/>
              <w:noProof/>
              <w:lang w:val="en-GB" w:eastAsia="en-GB"/>
            </w:rPr>
          </w:pPr>
          <w:hyperlink w:anchor="_Toc180502282" w:history="1">
            <w:r w:rsidRPr="00143A10">
              <w:rPr>
                <w:rStyle w:val="Hyperlink"/>
                <w:noProof/>
              </w:rPr>
              <w:t>Données d’expression de gènes</w:t>
            </w:r>
            <w:r>
              <w:rPr>
                <w:noProof/>
                <w:webHidden/>
              </w:rPr>
              <w:tab/>
            </w:r>
            <w:r>
              <w:rPr>
                <w:noProof/>
                <w:webHidden/>
              </w:rPr>
              <w:fldChar w:fldCharType="begin"/>
            </w:r>
            <w:r>
              <w:rPr>
                <w:noProof/>
                <w:webHidden/>
              </w:rPr>
              <w:instrText xml:space="preserve"> PAGEREF _Toc180502282 \h </w:instrText>
            </w:r>
            <w:r>
              <w:rPr>
                <w:noProof/>
                <w:webHidden/>
              </w:rPr>
            </w:r>
            <w:r>
              <w:rPr>
                <w:noProof/>
                <w:webHidden/>
              </w:rPr>
              <w:fldChar w:fldCharType="separate"/>
            </w:r>
            <w:r>
              <w:rPr>
                <w:noProof/>
                <w:webHidden/>
              </w:rPr>
              <w:t>2</w:t>
            </w:r>
            <w:r>
              <w:rPr>
                <w:noProof/>
                <w:webHidden/>
              </w:rPr>
              <w:fldChar w:fldCharType="end"/>
            </w:r>
          </w:hyperlink>
        </w:p>
        <w:p w14:paraId="5AE940D5" w14:textId="00D01487" w:rsidR="007243FF" w:rsidRDefault="007243FF">
          <w:pPr>
            <w:pStyle w:val="TOC2"/>
            <w:tabs>
              <w:tab w:val="right" w:leader="dot" w:pos="9062"/>
            </w:tabs>
            <w:rPr>
              <w:rFonts w:eastAsiaTheme="minorEastAsia"/>
              <w:noProof/>
              <w:lang w:val="en-GB" w:eastAsia="en-GB"/>
            </w:rPr>
          </w:pPr>
          <w:hyperlink w:anchor="_Toc180502283" w:history="1">
            <w:r w:rsidRPr="00143A10">
              <w:rPr>
                <w:rStyle w:val="Hyperlink"/>
                <w:noProof/>
              </w:rPr>
              <w:t>Annotations biocliniques</w:t>
            </w:r>
            <w:r>
              <w:rPr>
                <w:noProof/>
                <w:webHidden/>
              </w:rPr>
              <w:tab/>
            </w:r>
            <w:r>
              <w:rPr>
                <w:noProof/>
                <w:webHidden/>
              </w:rPr>
              <w:fldChar w:fldCharType="begin"/>
            </w:r>
            <w:r>
              <w:rPr>
                <w:noProof/>
                <w:webHidden/>
              </w:rPr>
              <w:instrText xml:space="preserve"> PAGEREF _Toc180502283 \h </w:instrText>
            </w:r>
            <w:r>
              <w:rPr>
                <w:noProof/>
                <w:webHidden/>
              </w:rPr>
            </w:r>
            <w:r>
              <w:rPr>
                <w:noProof/>
                <w:webHidden/>
              </w:rPr>
              <w:fldChar w:fldCharType="separate"/>
            </w:r>
            <w:r>
              <w:rPr>
                <w:noProof/>
                <w:webHidden/>
              </w:rPr>
              <w:t>3</w:t>
            </w:r>
            <w:r>
              <w:rPr>
                <w:noProof/>
                <w:webHidden/>
              </w:rPr>
              <w:fldChar w:fldCharType="end"/>
            </w:r>
          </w:hyperlink>
        </w:p>
        <w:p w14:paraId="41692463" w14:textId="0F30ADD2" w:rsidR="007243FF" w:rsidRDefault="007243FF">
          <w:pPr>
            <w:pStyle w:val="TOC2"/>
            <w:tabs>
              <w:tab w:val="right" w:leader="dot" w:pos="9062"/>
            </w:tabs>
            <w:rPr>
              <w:rFonts w:eastAsiaTheme="minorEastAsia"/>
              <w:noProof/>
              <w:lang w:val="en-GB" w:eastAsia="en-GB"/>
            </w:rPr>
          </w:pPr>
          <w:hyperlink w:anchor="_Toc180502284" w:history="1">
            <w:r w:rsidRPr="00143A10">
              <w:rPr>
                <w:rStyle w:val="Hyperlink"/>
                <w:noProof/>
              </w:rPr>
              <w:t>Annotations du GEC</w:t>
            </w:r>
            <w:r>
              <w:rPr>
                <w:noProof/>
                <w:webHidden/>
              </w:rPr>
              <w:tab/>
            </w:r>
            <w:r>
              <w:rPr>
                <w:noProof/>
                <w:webHidden/>
              </w:rPr>
              <w:fldChar w:fldCharType="begin"/>
            </w:r>
            <w:r>
              <w:rPr>
                <w:noProof/>
                <w:webHidden/>
              </w:rPr>
              <w:instrText xml:space="preserve"> PAGEREF _Toc180502284 \h </w:instrText>
            </w:r>
            <w:r>
              <w:rPr>
                <w:noProof/>
                <w:webHidden/>
              </w:rPr>
            </w:r>
            <w:r>
              <w:rPr>
                <w:noProof/>
                <w:webHidden/>
              </w:rPr>
              <w:fldChar w:fldCharType="separate"/>
            </w:r>
            <w:r>
              <w:rPr>
                <w:noProof/>
                <w:webHidden/>
              </w:rPr>
              <w:t>3</w:t>
            </w:r>
            <w:r>
              <w:rPr>
                <w:noProof/>
                <w:webHidden/>
              </w:rPr>
              <w:fldChar w:fldCharType="end"/>
            </w:r>
          </w:hyperlink>
        </w:p>
        <w:p w14:paraId="79A5D136" w14:textId="12964311" w:rsidR="007243FF" w:rsidRDefault="007243FF">
          <w:pPr>
            <w:pStyle w:val="TOC1"/>
            <w:tabs>
              <w:tab w:val="right" w:leader="dot" w:pos="9062"/>
            </w:tabs>
            <w:rPr>
              <w:rFonts w:eastAsiaTheme="minorEastAsia"/>
              <w:noProof/>
              <w:lang w:val="en-GB" w:eastAsia="en-GB"/>
            </w:rPr>
          </w:pPr>
          <w:hyperlink w:anchor="_Toc180502285" w:history="1">
            <w:r w:rsidRPr="00143A10">
              <w:rPr>
                <w:rStyle w:val="Hyperlink"/>
                <w:noProof/>
              </w:rPr>
              <w:t>Méthodologie</w:t>
            </w:r>
            <w:r>
              <w:rPr>
                <w:noProof/>
                <w:webHidden/>
              </w:rPr>
              <w:tab/>
            </w:r>
            <w:r>
              <w:rPr>
                <w:noProof/>
                <w:webHidden/>
              </w:rPr>
              <w:fldChar w:fldCharType="begin"/>
            </w:r>
            <w:r>
              <w:rPr>
                <w:noProof/>
                <w:webHidden/>
              </w:rPr>
              <w:instrText xml:space="preserve"> PAGEREF _Toc180502285 \h </w:instrText>
            </w:r>
            <w:r>
              <w:rPr>
                <w:noProof/>
                <w:webHidden/>
              </w:rPr>
            </w:r>
            <w:r>
              <w:rPr>
                <w:noProof/>
                <w:webHidden/>
              </w:rPr>
              <w:fldChar w:fldCharType="separate"/>
            </w:r>
            <w:r>
              <w:rPr>
                <w:noProof/>
                <w:webHidden/>
              </w:rPr>
              <w:t>4</w:t>
            </w:r>
            <w:r>
              <w:rPr>
                <w:noProof/>
                <w:webHidden/>
              </w:rPr>
              <w:fldChar w:fldCharType="end"/>
            </w:r>
          </w:hyperlink>
        </w:p>
        <w:p w14:paraId="6958105B" w14:textId="396262DB" w:rsidR="007243FF" w:rsidRDefault="007243FF">
          <w:pPr>
            <w:pStyle w:val="TOC2"/>
            <w:tabs>
              <w:tab w:val="right" w:leader="dot" w:pos="9062"/>
            </w:tabs>
            <w:rPr>
              <w:rFonts w:eastAsiaTheme="minorEastAsia"/>
              <w:noProof/>
              <w:lang w:val="en-GB" w:eastAsia="en-GB"/>
            </w:rPr>
          </w:pPr>
          <w:hyperlink w:anchor="_Toc180502286" w:history="1">
            <w:r w:rsidRPr="00143A10">
              <w:rPr>
                <w:rStyle w:val="Hyperlink"/>
                <w:noProof/>
              </w:rPr>
              <w:t>Identifier les échantillons du cancer du côlon (T-Colon) dans les données</w:t>
            </w:r>
            <w:r>
              <w:rPr>
                <w:noProof/>
                <w:webHidden/>
              </w:rPr>
              <w:tab/>
            </w:r>
            <w:r>
              <w:rPr>
                <w:noProof/>
                <w:webHidden/>
              </w:rPr>
              <w:fldChar w:fldCharType="begin"/>
            </w:r>
            <w:r>
              <w:rPr>
                <w:noProof/>
                <w:webHidden/>
              </w:rPr>
              <w:instrText xml:space="preserve"> PAGEREF _Toc180502286 \h </w:instrText>
            </w:r>
            <w:r>
              <w:rPr>
                <w:noProof/>
                <w:webHidden/>
              </w:rPr>
            </w:r>
            <w:r>
              <w:rPr>
                <w:noProof/>
                <w:webHidden/>
              </w:rPr>
              <w:fldChar w:fldCharType="separate"/>
            </w:r>
            <w:r>
              <w:rPr>
                <w:noProof/>
                <w:webHidden/>
              </w:rPr>
              <w:t>4</w:t>
            </w:r>
            <w:r>
              <w:rPr>
                <w:noProof/>
                <w:webHidden/>
              </w:rPr>
              <w:fldChar w:fldCharType="end"/>
            </w:r>
          </w:hyperlink>
        </w:p>
        <w:p w14:paraId="72786A1E" w14:textId="3E7A3D4D" w:rsidR="007243FF" w:rsidRDefault="007243FF">
          <w:pPr>
            <w:pStyle w:val="TOC2"/>
            <w:tabs>
              <w:tab w:val="right" w:leader="dot" w:pos="9062"/>
            </w:tabs>
            <w:rPr>
              <w:rFonts w:eastAsiaTheme="minorEastAsia"/>
              <w:noProof/>
              <w:lang w:val="en-GB" w:eastAsia="en-GB"/>
            </w:rPr>
          </w:pPr>
          <w:hyperlink w:anchor="_Toc180502287" w:history="1">
            <w:r w:rsidRPr="00143A10">
              <w:rPr>
                <w:rStyle w:val="Hyperlink"/>
                <w:noProof/>
              </w:rPr>
              <w:t>Construire des courbes de survie pour le Gene Expression Classifier (GEC)</w:t>
            </w:r>
            <w:r>
              <w:rPr>
                <w:noProof/>
                <w:webHidden/>
              </w:rPr>
              <w:tab/>
            </w:r>
            <w:r>
              <w:rPr>
                <w:noProof/>
                <w:webHidden/>
              </w:rPr>
              <w:fldChar w:fldCharType="begin"/>
            </w:r>
            <w:r>
              <w:rPr>
                <w:noProof/>
                <w:webHidden/>
              </w:rPr>
              <w:instrText xml:space="preserve"> PAGEREF _Toc180502287 \h </w:instrText>
            </w:r>
            <w:r>
              <w:rPr>
                <w:noProof/>
                <w:webHidden/>
              </w:rPr>
            </w:r>
            <w:r>
              <w:rPr>
                <w:noProof/>
                <w:webHidden/>
              </w:rPr>
              <w:fldChar w:fldCharType="separate"/>
            </w:r>
            <w:r>
              <w:rPr>
                <w:noProof/>
                <w:webHidden/>
              </w:rPr>
              <w:t>6</w:t>
            </w:r>
            <w:r>
              <w:rPr>
                <w:noProof/>
                <w:webHidden/>
              </w:rPr>
              <w:fldChar w:fldCharType="end"/>
            </w:r>
          </w:hyperlink>
        </w:p>
        <w:p w14:paraId="57B568F9" w14:textId="108BF2CB" w:rsidR="00CB244E" w:rsidRPr="005E78AC" w:rsidRDefault="00CB244E">
          <w:r w:rsidRPr="005E78AC">
            <w:rPr>
              <w:b/>
              <w:bCs/>
              <w:noProof/>
            </w:rPr>
            <w:fldChar w:fldCharType="end"/>
          </w:r>
        </w:p>
      </w:sdtContent>
    </w:sdt>
    <w:p w14:paraId="7E39865C" w14:textId="7FE47646" w:rsidR="00CB244E" w:rsidRPr="005E78AC" w:rsidRDefault="00CB244E" w:rsidP="00C172B7"/>
    <w:p w14:paraId="2B1E3AC7" w14:textId="77777777" w:rsidR="00B27BCC" w:rsidRPr="005E78AC" w:rsidRDefault="00B27BCC">
      <w:pPr>
        <w:spacing w:line="259" w:lineRule="auto"/>
        <w:jc w:val="left"/>
        <w:rPr>
          <w:rFonts w:asciiTheme="majorHAnsi" w:eastAsiaTheme="majorEastAsia" w:hAnsiTheme="majorHAnsi" w:cstheme="majorBidi"/>
          <w:color w:val="2F5496" w:themeColor="accent1" w:themeShade="BF"/>
          <w:sz w:val="32"/>
          <w:szCs w:val="32"/>
        </w:rPr>
      </w:pPr>
      <w:r w:rsidRPr="005E78AC">
        <w:br w:type="page"/>
      </w:r>
    </w:p>
    <w:p w14:paraId="0D5D02E3" w14:textId="77777777" w:rsidR="0041637C" w:rsidRPr="005E78AC" w:rsidRDefault="0041637C" w:rsidP="00C172B7"/>
    <w:p w14:paraId="536E5693" w14:textId="2F61C066" w:rsidR="004F385D" w:rsidRDefault="00C172B7" w:rsidP="009365B9">
      <w:pPr>
        <w:pStyle w:val="Heading1"/>
      </w:pPr>
      <w:bookmarkStart w:id="0" w:name="_Toc180502281"/>
      <w:r w:rsidRPr="005E78AC">
        <w:t>Données</w:t>
      </w:r>
      <w:bookmarkEnd w:id="0"/>
    </w:p>
    <w:p w14:paraId="541EE85D" w14:textId="77777777" w:rsidR="009365B9" w:rsidRPr="009365B9" w:rsidRDefault="009365B9" w:rsidP="009365B9"/>
    <w:p w14:paraId="1E07FBBD" w14:textId="1C5767D9" w:rsidR="004C54FF" w:rsidRPr="005E78AC" w:rsidRDefault="000C60C7" w:rsidP="004C54FF">
      <w:r w:rsidRPr="005E78AC">
        <w:t>Les données sont disponibles à l’adresse</w:t>
      </w:r>
      <w:r w:rsidR="00FD5012" w:rsidRPr="005E78AC">
        <w:t> </w:t>
      </w:r>
      <w:r w:rsidR="000B2646" w:rsidRPr="005E78AC">
        <w:t xml:space="preserve">suivante (voir le dossier « data ») </w:t>
      </w:r>
      <w:r w:rsidR="00FD5012" w:rsidRPr="005E78AC">
        <w:t>:</w:t>
      </w:r>
    </w:p>
    <w:p w14:paraId="6037C207" w14:textId="40C5136C" w:rsidR="00403D5C" w:rsidRPr="00D230AE" w:rsidRDefault="00403D5C" w:rsidP="009365B9">
      <w:pPr>
        <w:pBdr>
          <w:top w:val="single" w:sz="4" w:space="1" w:color="auto"/>
          <w:left w:val="single" w:sz="4" w:space="4" w:color="auto"/>
          <w:bottom w:val="single" w:sz="4" w:space="1" w:color="auto"/>
          <w:right w:val="single" w:sz="4" w:space="4" w:color="auto"/>
        </w:pBdr>
        <w:shd w:val="clear" w:color="auto" w:fill="FFF2CC" w:themeFill="accent4" w:themeFillTint="33"/>
        <w:rPr>
          <w:sz w:val="36"/>
          <w:szCs w:val="36"/>
        </w:rPr>
      </w:pPr>
      <w:r w:rsidRPr="00D230AE">
        <w:rPr>
          <w:sz w:val="36"/>
          <w:szCs w:val="36"/>
        </w:rPr>
        <w:t>http://epimed.univ-grenoble-alpes.fr/downloads/uga_ssd/</w:t>
      </w:r>
    </w:p>
    <w:p w14:paraId="6386F5B1" w14:textId="77777777" w:rsidR="009365B9" w:rsidRPr="005E78AC" w:rsidRDefault="009365B9" w:rsidP="004C54FF"/>
    <w:p w14:paraId="66265071" w14:textId="5CC8C01F" w:rsidR="005D67EB" w:rsidRPr="005E78AC" w:rsidRDefault="00D230AE" w:rsidP="00D26E7B">
      <w:r w:rsidRPr="00D230AE">
        <w:rPr>
          <w:noProof/>
        </w:rPr>
        <w:drawing>
          <wp:inline distT="0" distB="0" distL="0" distR="0" wp14:anchorId="1C7F531C" wp14:editId="5936D778">
            <wp:extent cx="5760720" cy="2923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23540"/>
                    </a:xfrm>
                    <a:prstGeom prst="rect">
                      <a:avLst/>
                    </a:prstGeom>
                  </pic:spPr>
                </pic:pic>
              </a:graphicData>
            </a:graphic>
          </wp:inline>
        </w:drawing>
      </w:r>
    </w:p>
    <w:p w14:paraId="2438E0F4" w14:textId="247E04F8" w:rsidR="00FD5012" w:rsidRPr="005E78AC" w:rsidRDefault="00FD5012" w:rsidP="00D26E7B"/>
    <w:p w14:paraId="119153E5" w14:textId="7BC9B7B5" w:rsidR="00032768" w:rsidRPr="005E78AC" w:rsidRDefault="00032768" w:rsidP="00D26E7B">
      <w:r w:rsidRPr="005E78AC">
        <w:t xml:space="preserve">Les données contiennent </w:t>
      </w:r>
      <w:r w:rsidR="00D230AE">
        <w:t>3</w:t>
      </w:r>
      <w:r w:rsidRPr="005E78AC">
        <w:t xml:space="preserve"> </w:t>
      </w:r>
      <w:proofErr w:type="spellStart"/>
      <w:r w:rsidRPr="005E78AC">
        <w:t>datasets</w:t>
      </w:r>
      <w:proofErr w:type="spellEnd"/>
      <w:r w:rsidRPr="005E78AC">
        <w:t xml:space="preserve"> du cancer du </w:t>
      </w:r>
      <w:r w:rsidR="00301451" w:rsidRPr="005E78AC">
        <w:t>côlon</w:t>
      </w:r>
      <w:r w:rsidRPr="005E78AC">
        <w:t>.</w:t>
      </w:r>
    </w:p>
    <w:tbl>
      <w:tblPr>
        <w:tblStyle w:val="TableGrid"/>
        <w:tblW w:w="9351" w:type="dxa"/>
        <w:tblLook w:val="04A0" w:firstRow="1" w:lastRow="0" w:firstColumn="1" w:lastColumn="0" w:noHBand="0" w:noVBand="1"/>
      </w:tblPr>
      <w:tblGrid>
        <w:gridCol w:w="1727"/>
        <w:gridCol w:w="1600"/>
        <w:gridCol w:w="6024"/>
      </w:tblGrid>
      <w:tr w:rsidR="00D96DA1" w:rsidRPr="005E78AC" w14:paraId="0BF39127" w14:textId="0B92BEDB" w:rsidTr="00D96DA1">
        <w:tc>
          <w:tcPr>
            <w:tcW w:w="2263" w:type="dxa"/>
          </w:tcPr>
          <w:p w14:paraId="311B3AEE" w14:textId="076C584C" w:rsidR="00D96DA1" w:rsidRPr="005E78AC" w:rsidRDefault="00D96DA1" w:rsidP="00D26E7B">
            <w:pPr>
              <w:rPr>
                <w:b/>
                <w:bCs/>
              </w:rPr>
            </w:pPr>
            <w:proofErr w:type="spellStart"/>
            <w:r w:rsidRPr="005E78AC">
              <w:rPr>
                <w:b/>
                <w:bCs/>
              </w:rPr>
              <w:t>Dataset</w:t>
            </w:r>
            <w:proofErr w:type="spellEnd"/>
          </w:p>
        </w:tc>
        <w:tc>
          <w:tcPr>
            <w:tcW w:w="1843" w:type="dxa"/>
          </w:tcPr>
          <w:p w14:paraId="7CB07E05" w14:textId="1E3D1471" w:rsidR="00D96DA1" w:rsidRPr="005E78AC" w:rsidRDefault="00D96DA1" w:rsidP="00D26E7B">
            <w:pPr>
              <w:rPr>
                <w:b/>
                <w:bCs/>
              </w:rPr>
            </w:pPr>
            <w:r w:rsidRPr="005E78AC">
              <w:rPr>
                <w:b/>
                <w:bCs/>
              </w:rPr>
              <w:t>Technologie</w:t>
            </w:r>
          </w:p>
        </w:tc>
        <w:tc>
          <w:tcPr>
            <w:tcW w:w="5245" w:type="dxa"/>
          </w:tcPr>
          <w:p w14:paraId="17B09993" w14:textId="09B6D3E3" w:rsidR="00D96DA1" w:rsidRPr="005E78AC" w:rsidRDefault="00D96DA1" w:rsidP="00D26E7B">
            <w:pPr>
              <w:rPr>
                <w:b/>
                <w:bCs/>
              </w:rPr>
            </w:pPr>
            <w:r w:rsidRPr="005E78AC">
              <w:rPr>
                <w:b/>
                <w:bCs/>
              </w:rPr>
              <w:t>Source</w:t>
            </w:r>
          </w:p>
        </w:tc>
      </w:tr>
      <w:tr w:rsidR="00D96DA1" w:rsidRPr="005E78AC" w14:paraId="0C45ECAA" w14:textId="6D0050DA" w:rsidTr="00D96DA1">
        <w:tc>
          <w:tcPr>
            <w:tcW w:w="2263" w:type="dxa"/>
          </w:tcPr>
          <w:p w14:paraId="1A143ECA" w14:textId="604B2EBC" w:rsidR="00D96DA1" w:rsidRPr="005E78AC" w:rsidRDefault="00D96DA1" w:rsidP="004A54F9">
            <w:r w:rsidRPr="005E78AC">
              <w:t>TCGA-COAD</w:t>
            </w:r>
          </w:p>
        </w:tc>
        <w:tc>
          <w:tcPr>
            <w:tcW w:w="1843" w:type="dxa"/>
          </w:tcPr>
          <w:p w14:paraId="15B99903" w14:textId="49536F54" w:rsidR="00D96DA1" w:rsidRPr="005E78AC" w:rsidRDefault="00D96DA1" w:rsidP="004A54F9">
            <w:r w:rsidRPr="005E78AC">
              <w:t>RNA-</w:t>
            </w:r>
            <w:proofErr w:type="spellStart"/>
            <w:r w:rsidRPr="005E78AC">
              <w:t>seq</w:t>
            </w:r>
            <w:proofErr w:type="spellEnd"/>
          </w:p>
        </w:tc>
        <w:tc>
          <w:tcPr>
            <w:tcW w:w="5245" w:type="dxa"/>
          </w:tcPr>
          <w:p w14:paraId="402A9ABB" w14:textId="579FA05D" w:rsidR="00D96DA1" w:rsidRPr="005E78AC" w:rsidRDefault="00D96DA1" w:rsidP="004A54F9">
            <w:r w:rsidRPr="005E78AC">
              <w:t xml:space="preserve">GDC </w:t>
            </w:r>
            <w:proofErr w:type="gramStart"/>
            <w:r w:rsidRPr="005E78AC">
              <w:t>portal:</w:t>
            </w:r>
            <w:proofErr w:type="gramEnd"/>
            <w:r w:rsidRPr="005E78AC">
              <w:t xml:space="preserve"> https://portal.gdc.cancer.gov/</w:t>
            </w:r>
          </w:p>
        </w:tc>
      </w:tr>
      <w:tr w:rsidR="00D96DA1" w:rsidRPr="007243FF" w14:paraId="7E27BDFC" w14:textId="3D7EC230" w:rsidTr="00D96DA1">
        <w:tc>
          <w:tcPr>
            <w:tcW w:w="2263" w:type="dxa"/>
          </w:tcPr>
          <w:p w14:paraId="71950015" w14:textId="334BFCD4" w:rsidR="00D96DA1" w:rsidRPr="005E78AC" w:rsidRDefault="00D96DA1" w:rsidP="004A54F9">
            <w:r w:rsidRPr="005E78AC">
              <w:t>GSE39582</w:t>
            </w:r>
          </w:p>
        </w:tc>
        <w:tc>
          <w:tcPr>
            <w:tcW w:w="1843" w:type="dxa"/>
          </w:tcPr>
          <w:p w14:paraId="7C312D05" w14:textId="3640F82F" w:rsidR="00D96DA1" w:rsidRPr="005E78AC" w:rsidRDefault="00D96DA1" w:rsidP="004A54F9">
            <w:proofErr w:type="spellStart"/>
            <w:r w:rsidRPr="005E78AC">
              <w:t>Microarrays</w:t>
            </w:r>
            <w:proofErr w:type="spellEnd"/>
          </w:p>
        </w:tc>
        <w:tc>
          <w:tcPr>
            <w:tcW w:w="5245" w:type="dxa"/>
          </w:tcPr>
          <w:p w14:paraId="42EC8580" w14:textId="1506A2B1" w:rsidR="00D96DA1" w:rsidRPr="007243FF" w:rsidRDefault="00D96DA1" w:rsidP="00D96DA1">
            <w:pPr>
              <w:jc w:val="left"/>
              <w:rPr>
                <w:lang w:val="en-GB"/>
              </w:rPr>
            </w:pPr>
            <w:r w:rsidRPr="007243FF">
              <w:rPr>
                <w:lang w:val="en-GB"/>
              </w:rPr>
              <w:t>NCBI GEO: https://www.ncbi.nlm.nih.gov/geo/query/acc.cgi?acc=GSE39582</w:t>
            </w:r>
          </w:p>
        </w:tc>
      </w:tr>
      <w:tr w:rsidR="00D96DA1" w:rsidRPr="007243FF" w14:paraId="5F333140" w14:textId="06CA6615" w:rsidTr="00D96DA1">
        <w:tc>
          <w:tcPr>
            <w:tcW w:w="2263" w:type="dxa"/>
          </w:tcPr>
          <w:p w14:paraId="55B0621C" w14:textId="216040F2" w:rsidR="00D96DA1" w:rsidRPr="005E78AC" w:rsidRDefault="00D96DA1" w:rsidP="004A54F9">
            <w:r w:rsidRPr="005E78AC">
              <w:t>GSE17536</w:t>
            </w:r>
          </w:p>
        </w:tc>
        <w:tc>
          <w:tcPr>
            <w:tcW w:w="1843" w:type="dxa"/>
          </w:tcPr>
          <w:p w14:paraId="6AB0A5DC" w14:textId="21F92F7E" w:rsidR="00D96DA1" w:rsidRPr="005E78AC" w:rsidRDefault="00D96DA1" w:rsidP="004A54F9">
            <w:proofErr w:type="spellStart"/>
            <w:r w:rsidRPr="005E78AC">
              <w:t>Microarrays</w:t>
            </w:r>
            <w:proofErr w:type="spellEnd"/>
          </w:p>
        </w:tc>
        <w:tc>
          <w:tcPr>
            <w:tcW w:w="5245" w:type="dxa"/>
          </w:tcPr>
          <w:p w14:paraId="1DBADA4B" w14:textId="0CBB8AA1" w:rsidR="00D96DA1" w:rsidRPr="007243FF" w:rsidRDefault="00D96DA1" w:rsidP="00D96DA1">
            <w:pPr>
              <w:jc w:val="left"/>
              <w:rPr>
                <w:lang w:val="en-GB"/>
              </w:rPr>
            </w:pPr>
            <w:r w:rsidRPr="007243FF">
              <w:rPr>
                <w:lang w:val="en-GB"/>
              </w:rPr>
              <w:t>NCBI GEO: https://www.ncbi.nlm.nih.gov/geo/query/acc.cgi?acc=GSE17536</w:t>
            </w:r>
          </w:p>
        </w:tc>
      </w:tr>
    </w:tbl>
    <w:p w14:paraId="6584BBB0" w14:textId="23C3A1A4" w:rsidR="00C65C24" w:rsidRPr="007243FF" w:rsidRDefault="00C65C24" w:rsidP="00C65C24">
      <w:pPr>
        <w:rPr>
          <w:lang w:val="en-GB"/>
        </w:rPr>
      </w:pPr>
    </w:p>
    <w:p w14:paraId="48EAB54B" w14:textId="1D82DFA4" w:rsidR="004F385D" w:rsidRPr="005E78AC" w:rsidRDefault="004304CD" w:rsidP="009365B9">
      <w:pPr>
        <w:pStyle w:val="Heading2"/>
      </w:pPr>
      <w:bookmarkStart w:id="1" w:name="_Toc180502282"/>
      <w:r w:rsidRPr="005E78AC">
        <w:t>Données d’expression de gènes</w:t>
      </w:r>
      <w:bookmarkEnd w:id="1"/>
    </w:p>
    <w:p w14:paraId="41692B1F" w14:textId="29D94A0A" w:rsidR="00301451" w:rsidRPr="005E78AC" w:rsidRDefault="00301451" w:rsidP="00301451">
      <w:r w:rsidRPr="005E78AC">
        <w:t xml:space="preserve">Pour chaque </w:t>
      </w:r>
      <w:proofErr w:type="spellStart"/>
      <w:r w:rsidRPr="005E78AC">
        <w:t>dataset</w:t>
      </w:r>
      <w:proofErr w:type="spellEnd"/>
      <w:r w:rsidRPr="005E78AC">
        <w:t xml:space="preserve">, </w:t>
      </w:r>
      <w:r w:rsidR="00183414">
        <w:t xml:space="preserve">plusieurs </w:t>
      </w:r>
      <w:r w:rsidRPr="005E78AC">
        <w:t>fichier</w:t>
      </w:r>
      <w:r w:rsidR="00183414">
        <w:t>s</w:t>
      </w:r>
      <w:r w:rsidRPr="005E78AC">
        <w:t xml:space="preserve"> sont disponibles : </w:t>
      </w:r>
    </w:p>
    <w:p w14:paraId="7AA82909" w14:textId="77777777" w:rsidR="00301451" w:rsidRPr="005E78AC" w:rsidRDefault="00301451" w:rsidP="00301451">
      <w:pPr>
        <w:pStyle w:val="ListParagraph"/>
        <w:numPr>
          <w:ilvl w:val="0"/>
          <w:numId w:val="10"/>
        </w:numPr>
        <w:jc w:val="left"/>
      </w:pPr>
      <w:r w:rsidRPr="005E78AC">
        <w:t>Les niveaux d’expression de gènes</w:t>
      </w:r>
      <w:r w:rsidRPr="005E78AC">
        <w:br/>
        <w:t xml:space="preserve">(fichier nommé </w:t>
      </w:r>
      <w:proofErr w:type="spellStart"/>
      <w:r w:rsidRPr="005E78AC">
        <w:rPr>
          <w:rFonts w:ascii="Consolas" w:hAnsi="Consolas"/>
          <w:color w:val="C00000"/>
        </w:rPr>
        <w:t>expression_data</w:t>
      </w:r>
      <w:proofErr w:type="spellEnd"/>
      <w:r w:rsidRPr="005E78AC">
        <w:rPr>
          <w:rFonts w:ascii="Consolas" w:hAnsi="Consolas"/>
          <w:color w:val="C00000"/>
        </w:rPr>
        <w:t>*.csv</w:t>
      </w:r>
      <w:r w:rsidRPr="005E78AC">
        <w:rPr>
          <w:rFonts w:cstheme="minorHAnsi"/>
        </w:rPr>
        <w:t>, séparateur « ; »)</w:t>
      </w:r>
    </w:p>
    <w:p w14:paraId="3793EFF4" w14:textId="0FFA3914" w:rsidR="00301451" w:rsidRDefault="00301451" w:rsidP="004F385D">
      <w:pPr>
        <w:pStyle w:val="ListParagraph"/>
        <w:numPr>
          <w:ilvl w:val="0"/>
          <w:numId w:val="10"/>
        </w:numPr>
        <w:jc w:val="left"/>
      </w:pPr>
      <w:r w:rsidRPr="005E78AC">
        <w:t>Les annotations biocliniques des échantillons</w:t>
      </w:r>
      <w:r w:rsidRPr="005E78AC">
        <w:br/>
        <w:t xml:space="preserve">(fichier nommé </w:t>
      </w:r>
      <w:proofErr w:type="spellStart"/>
      <w:r w:rsidRPr="005E78AC">
        <w:rPr>
          <w:rFonts w:ascii="Consolas" w:hAnsi="Consolas"/>
          <w:color w:val="C00000"/>
        </w:rPr>
        <w:t>EpiMed_experimental_grouping</w:t>
      </w:r>
      <w:proofErr w:type="spellEnd"/>
      <w:r w:rsidRPr="005E78AC">
        <w:rPr>
          <w:rFonts w:ascii="Consolas" w:hAnsi="Consolas"/>
          <w:color w:val="C00000"/>
        </w:rPr>
        <w:t>*.xlsx</w:t>
      </w:r>
      <w:r w:rsidRPr="005E78AC">
        <w:t>)</w:t>
      </w:r>
    </w:p>
    <w:p w14:paraId="0D6C66C5" w14:textId="4993013F" w:rsidR="00183414" w:rsidRPr="005E78AC" w:rsidRDefault="00183414" w:rsidP="004F385D">
      <w:pPr>
        <w:pStyle w:val="ListParagraph"/>
        <w:numPr>
          <w:ilvl w:val="0"/>
          <w:numId w:val="10"/>
        </w:numPr>
        <w:jc w:val="left"/>
      </w:pPr>
      <w:r>
        <w:t xml:space="preserve">Le score GEC : </w:t>
      </w:r>
      <w:r>
        <w:rPr>
          <w:rFonts w:ascii="Consolas" w:hAnsi="Consolas"/>
          <w:color w:val="C00000"/>
        </w:rPr>
        <w:t>*_GEC</w:t>
      </w:r>
      <w:r w:rsidRPr="005E78AC">
        <w:rPr>
          <w:rFonts w:ascii="Consolas" w:hAnsi="Consolas"/>
          <w:color w:val="C00000"/>
        </w:rPr>
        <w:t>.</w:t>
      </w:r>
      <w:r>
        <w:rPr>
          <w:rFonts w:ascii="Consolas" w:hAnsi="Consolas"/>
          <w:color w:val="C00000"/>
        </w:rPr>
        <w:t>csv</w:t>
      </w:r>
    </w:p>
    <w:p w14:paraId="2BD488E3" w14:textId="77777777" w:rsidR="00301451" w:rsidRPr="005E78AC" w:rsidRDefault="00301451" w:rsidP="004F385D"/>
    <w:p w14:paraId="673359CF" w14:textId="04D58BF2" w:rsidR="00524A7C" w:rsidRPr="005E78AC" w:rsidRDefault="00524A7C" w:rsidP="00524A7C">
      <w:r w:rsidRPr="005E78AC">
        <w:t>(</w:t>
      </w:r>
      <w:proofErr w:type="spellStart"/>
      <w:proofErr w:type="gramStart"/>
      <w:r w:rsidRPr="005E78AC">
        <w:rPr>
          <w:rFonts w:ascii="Consolas" w:hAnsi="Consolas"/>
          <w:color w:val="C00000"/>
        </w:rPr>
        <w:t>expression_data</w:t>
      </w:r>
      <w:proofErr w:type="spellEnd"/>
      <w:r w:rsidRPr="005E78AC">
        <w:rPr>
          <w:rFonts w:ascii="Consolas" w:hAnsi="Consolas"/>
          <w:color w:val="C00000"/>
        </w:rPr>
        <w:t>*.csv</w:t>
      </w:r>
      <w:proofErr w:type="gramEnd"/>
      <w:r w:rsidRPr="005E78AC">
        <w:t>)</w:t>
      </w:r>
    </w:p>
    <w:p w14:paraId="0FFD8119" w14:textId="364C4CE9" w:rsidR="00EB34D4" w:rsidRPr="005E78AC" w:rsidRDefault="00F0277D" w:rsidP="00EB34D4">
      <w:r w:rsidRPr="005E78AC">
        <w:lastRenderedPageBreak/>
        <w:t xml:space="preserve">Les données transcriptomiques sont disponibles sous </w:t>
      </w:r>
      <w:r w:rsidR="00D726DF" w:rsidRPr="005E78AC">
        <w:t xml:space="preserve">la </w:t>
      </w:r>
      <w:r w:rsidRPr="005E78AC">
        <w:t>forme d’une matrice de valeurs d’expression de gènes, normalisées et log-transformées pour chaque paire gène-échantillon.</w:t>
      </w:r>
    </w:p>
    <w:p w14:paraId="5707B323" w14:textId="282F4A62" w:rsidR="00782561" w:rsidRPr="005E78AC" w:rsidRDefault="00782561" w:rsidP="00782561">
      <w:pPr>
        <w:jc w:val="center"/>
      </w:pPr>
      <w:r w:rsidRPr="005E78AC">
        <w:rPr>
          <w:noProof/>
          <w:lang w:eastAsia="fr-FR"/>
        </w:rPr>
        <w:drawing>
          <wp:inline distT="0" distB="0" distL="0" distR="0" wp14:anchorId="34A1F7CA" wp14:editId="44ABCE88">
            <wp:extent cx="4455436" cy="2813753"/>
            <wp:effectExtent l="0" t="0" r="2540" b="5715"/>
            <wp:docPr id="2" name="Image 1" descr="E:\WORK\PROJECTS\STAGES\EPIMED_2020_Alexis_Pellerin\ROADMAP\data_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PROJECTS\STAGES\EPIMED_2020_Alexis_Pellerin\ROADMAP\data_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0670" cy="2836005"/>
                    </a:xfrm>
                    <a:prstGeom prst="rect">
                      <a:avLst/>
                    </a:prstGeom>
                    <a:noFill/>
                    <a:ln>
                      <a:noFill/>
                    </a:ln>
                  </pic:spPr>
                </pic:pic>
              </a:graphicData>
            </a:graphic>
          </wp:inline>
        </w:drawing>
      </w:r>
    </w:p>
    <w:p w14:paraId="39454CDF" w14:textId="73A0525E" w:rsidR="00A41513" w:rsidRPr="005E78AC" w:rsidRDefault="00A41513" w:rsidP="00A41513">
      <w:r w:rsidRPr="005E78AC">
        <w:t xml:space="preserve">En fonction du </w:t>
      </w:r>
      <w:proofErr w:type="spellStart"/>
      <w:r w:rsidRPr="005E78AC">
        <w:t>dataset</w:t>
      </w:r>
      <w:proofErr w:type="spellEnd"/>
      <w:r w:rsidRPr="005E78AC">
        <w:t>, les valeur</w:t>
      </w:r>
      <w:r w:rsidR="001060DA" w:rsidRPr="005E78AC">
        <w:t>s</w:t>
      </w:r>
      <w:r w:rsidRPr="005E78AC">
        <w:t xml:space="preserve"> peuvent correspondre aux données normalisées FPKM (pour les données RNA-</w:t>
      </w:r>
      <w:proofErr w:type="spellStart"/>
      <w:r w:rsidRPr="005E78AC">
        <w:t>seq</w:t>
      </w:r>
      <w:proofErr w:type="spellEnd"/>
      <w:r w:rsidRPr="005E78AC">
        <w:t xml:space="preserve">) ou </w:t>
      </w:r>
      <w:r w:rsidR="001060DA" w:rsidRPr="005E78AC">
        <w:t xml:space="preserve">à </w:t>
      </w:r>
      <w:r w:rsidRPr="005E78AC">
        <w:t xml:space="preserve">d’autres valeurs d’expression normalisées (pour les données </w:t>
      </w:r>
      <w:proofErr w:type="spellStart"/>
      <w:r w:rsidRPr="005E78AC">
        <w:t>Microarrays</w:t>
      </w:r>
      <w:proofErr w:type="spellEnd"/>
      <w:r w:rsidRPr="005E78AC">
        <w:t>).</w:t>
      </w:r>
      <w:r w:rsidR="001060DA" w:rsidRPr="005E78AC">
        <w:t xml:space="preserve"> Dans les deux cas, les données sont directement exploitables pour faire des analyses statistiques.</w:t>
      </w:r>
    </w:p>
    <w:p w14:paraId="6884E824" w14:textId="572064D7" w:rsidR="00FE5D9C" w:rsidRPr="005E78AC" w:rsidRDefault="00FE5D9C" w:rsidP="00A41513"/>
    <w:p w14:paraId="1A31C983" w14:textId="104E0E2F" w:rsidR="004F385D" w:rsidRPr="007243FF" w:rsidRDefault="00FE5D9C" w:rsidP="009365B9">
      <w:pPr>
        <w:pStyle w:val="Heading2"/>
        <w:rPr>
          <w:lang w:val="en-GB"/>
        </w:rPr>
      </w:pPr>
      <w:bookmarkStart w:id="2" w:name="_Toc180502283"/>
      <w:r w:rsidRPr="007243FF">
        <w:rPr>
          <w:lang w:val="en-GB"/>
        </w:rPr>
        <w:t>Annotations biocliniques</w:t>
      </w:r>
      <w:bookmarkEnd w:id="2"/>
    </w:p>
    <w:p w14:paraId="5BBDEB90" w14:textId="52C4C11F" w:rsidR="00C94F53" w:rsidRPr="007243FF" w:rsidRDefault="00C94F53" w:rsidP="00C94F53">
      <w:pPr>
        <w:rPr>
          <w:lang w:val="en-GB"/>
        </w:rPr>
      </w:pPr>
      <w:r w:rsidRPr="007243FF">
        <w:rPr>
          <w:lang w:val="en-GB"/>
        </w:rPr>
        <w:t>(</w:t>
      </w:r>
      <w:r w:rsidRPr="007243FF">
        <w:rPr>
          <w:rFonts w:ascii="Consolas" w:hAnsi="Consolas"/>
          <w:color w:val="C00000"/>
          <w:lang w:val="en-GB"/>
        </w:rPr>
        <w:t>EpiMed_experimental_grouping*.xlsx</w:t>
      </w:r>
      <w:r w:rsidRPr="007243FF">
        <w:rPr>
          <w:lang w:val="en-GB"/>
        </w:rPr>
        <w:t>)</w:t>
      </w:r>
    </w:p>
    <w:p w14:paraId="7C74D0BB" w14:textId="0C0115A1" w:rsidR="00CF591D" w:rsidRPr="005E78AC" w:rsidRDefault="00FE5D9C" w:rsidP="00A41513">
      <w:r w:rsidRPr="005E78AC">
        <w:t xml:space="preserve">Les annotations biocliniques dans les fichiers Excel sont présentées avec deux onglets : « standard </w:t>
      </w:r>
      <w:proofErr w:type="spellStart"/>
      <w:r w:rsidRPr="005E78AC">
        <w:t>exp_group</w:t>
      </w:r>
      <w:proofErr w:type="spellEnd"/>
      <w:r w:rsidRPr="005E78AC">
        <w:t xml:space="preserve"> » et « original </w:t>
      </w:r>
      <w:proofErr w:type="spellStart"/>
      <w:r w:rsidRPr="005E78AC">
        <w:t>parameters</w:t>
      </w:r>
      <w:proofErr w:type="spellEnd"/>
      <w:r w:rsidRPr="005E78AC">
        <w:t> ». Les données de survie</w:t>
      </w:r>
      <w:r w:rsidR="00CF591D" w:rsidRPr="005E78AC">
        <w:t xml:space="preserve"> sont disponibles dans les colonnes suivantes dans l’onglet « standard </w:t>
      </w:r>
      <w:proofErr w:type="spellStart"/>
      <w:r w:rsidR="00CF591D" w:rsidRPr="005E78AC">
        <w:t>exp_group</w:t>
      </w:r>
      <w:proofErr w:type="spellEnd"/>
      <w:r w:rsidR="00CF591D" w:rsidRPr="005E78AC">
        <w:t> ».</w:t>
      </w:r>
    </w:p>
    <w:tbl>
      <w:tblPr>
        <w:tblStyle w:val="TableGrid"/>
        <w:tblW w:w="0" w:type="auto"/>
        <w:tblLook w:val="04A0" w:firstRow="1" w:lastRow="0" w:firstColumn="1" w:lastColumn="0" w:noHBand="0" w:noVBand="1"/>
      </w:tblPr>
      <w:tblGrid>
        <w:gridCol w:w="2263"/>
        <w:gridCol w:w="6799"/>
      </w:tblGrid>
      <w:tr w:rsidR="00E4034F" w:rsidRPr="005E78AC" w14:paraId="11B65D1E" w14:textId="77777777" w:rsidTr="00A45C60">
        <w:tc>
          <w:tcPr>
            <w:tcW w:w="2263" w:type="dxa"/>
          </w:tcPr>
          <w:p w14:paraId="578F01E5" w14:textId="67868A34" w:rsidR="00E4034F" w:rsidRPr="005E78AC" w:rsidRDefault="00E4034F" w:rsidP="00A41513">
            <w:pPr>
              <w:rPr>
                <w:b/>
                <w:bCs/>
              </w:rPr>
            </w:pPr>
            <w:r w:rsidRPr="005E78AC">
              <w:rPr>
                <w:b/>
                <w:bCs/>
              </w:rPr>
              <w:t>Colonne</w:t>
            </w:r>
          </w:p>
        </w:tc>
        <w:tc>
          <w:tcPr>
            <w:tcW w:w="6799" w:type="dxa"/>
          </w:tcPr>
          <w:p w14:paraId="2448A388" w14:textId="33B30916" w:rsidR="00E4034F" w:rsidRPr="005E78AC" w:rsidRDefault="00E4034F" w:rsidP="00A41513">
            <w:pPr>
              <w:rPr>
                <w:b/>
                <w:bCs/>
              </w:rPr>
            </w:pPr>
            <w:r w:rsidRPr="005E78AC">
              <w:rPr>
                <w:b/>
                <w:bCs/>
              </w:rPr>
              <w:t>Signification</w:t>
            </w:r>
          </w:p>
        </w:tc>
      </w:tr>
      <w:tr w:rsidR="00E4034F" w:rsidRPr="005E78AC" w14:paraId="33DB55A7" w14:textId="77777777" w:rsidTr="00A45C60">
        <w:tc>
          <w:tcPr>
            <w:tcW w:w="2263" w:type="dxa"/>
          </w:tcPr>
          <w:p w14:paraId="1C1F1108" w14:textId="34768784" w:rsidR="00E4034F" w:rsidRPr="005E78AC" w:rsidRDefault="00E4034F" w:rsidP="00A41513">
            <w:proofErr w:type="spellStart"/>
            <w:proofErr w:type="gramStart"/>
            <w:r w:rsidRPr="005E78AC">
              <w:t>os</w:t>
            </w:r>
            <w:proofErr w:type="gramEnd"/>
            <w:r w:rsidRPr="005E78AC">
              <w:t>_month</w:t>
            </w:r>
            <w:proofErr w:type="spellEnd"/>
            <w:r w:rsidRPr="005E78AC">
              <w:t> </w:t>
            </w:r>
          </w:p>
        </w:tc>
        <w:tc>
          <w:tcPr>
            <w:tcW w:w="6799" w:type="dxa"/>
          </w:tcPr>
          <w:p w14:paraId="6EDD1E2B" w14:textId="0066105D" w:rsidR="00E4034F" w:rsidRPr="005E78AC" w:rsidRDefault="00E4034F" w:rsidP="00A41513">
            <w:r w:rsidRPr="005E78AC">
              <w:t>La durée de la survie globale OS (</w:t>
            </w:r>
            <w:proofErr w:type="spellStart"/>
            <w:r w:rsidRPr="005E78AC">
              <w:t>overall</w:t>
            </w:r>
            <w:proofErr w:type="spellEnd"/>
            <w:r w:rsidRPr="005E78AC">
              <w:t xml:space="preserve"> </w:t>
            </w:r>
            <w:proofErr w:type="spellStart"/>
            <w:r w:rsidRPr="005E78AC">
              <w:t>survival</w:t>
            </w:r>
            <w:proofErr w:type="spellEnd"/>
            <w:r w:rsidRPr="005E78AC">
              <w:t>) en mois.</w:t>
            </w:r>
          </w:p>
        </w:tc>
      </w:tr>
      <w:tr w:rsidR="00E4034F" w:rsidRPr="005E78AC" w14:paraId="79E3889F" w14:textId="77777777" w:rsidTr="00A45C60">
        <w:tc>
          <w:tcPr>
            <w:tcW w:w="2263" w:type="dxa"/>
          </w:tcPr>
          <w:p w14:paraId="0071AF3B" w14:textId="171430E3" w:rsidR="00E4034F" w:rsidRPr="005E78AC" w:rsidRDefault="0027744D" w:rsidP="00A41513">
            <w:proofErr w:type="spellStart"/>
            <w:proofErr w:type="gramStart"/>
            <w:r w:rsidRPr="005E78AC">
              <w:t>os</w:t>
            </w:r>
            <w:proofErr w:type="gramEnd"/>
            <w:r w:rsidRPr="005E78AC">
              <w:t>_censor</w:t>
            </w:r>
            <w:proofErr w:type="spellEnd"/>
          </w:p>
        </w:tc>
        <w:tc>
          <w:tcPr>
            <w:tcW w:w="6799" w:type="dxa"/>
          </w:tcPr>
          <w:p w14:paraId="03EB9F41" w14:textId="77777777" w:rsidR="0027744D" w:rsidRPr="005E78AC" w:rsidRDefault="0027744D" w:rsidP="00A41513">
            <w:r w:rsidRPr="005E78AC">
              <w:t xml:space="preserve">La censure de la survie globale. </w:t>
            </w:r>
          </w:p>
          <w:p w14:paraId="2041F5EF" w14:textId="2B137322" w:rsidR="0027744D" w:rsidRPr="005E78AC" w:rsidRDefault="0027744D" w:rsidP="00A41513">
            <w:r w:rsidRPr="005E78AC">
              <w:t>0 – donnée censurée, c’est-à-dire, l’évènement (décès) n’a pas été observé pendant la durée de suivi indiqué dans « </w:t>
            </w:r>
            <w:proofErr w:type="spellStart"/>
            <w:r w:rsidRPr="005E78AC">
              <w:t>os_months</w:t>
            </w:r>
            <w:proofErr w:type="spellEnd"/>
            <w:r w:rsidRPr="005E78AC">
              <w:t> ».</w:t>
            </w:r>
          </w:p>
          <w:p w14:paraId="245C0975" w14:textId="20AC7706" w:rsidR="00E4034F" w:rsidRPr="005E78AC" w:rsidRDefault="0027744D" w:rsidP="00A41513">
            <w:r w:rsidRPr="005E78AC">
              <w:t>1 – l’évènement a été observé après la durée indiqué dans « </w:t>
            </w:r>
            <w:proofErr w:type="spellStart"/>
            <w:r w:rsidRPr="005E78AC">
              <w:t>os_months</w:t>
            </w:r>
            <w:proofErr w:type="spellEnd"/>
            <w:r w:rsidRPr="005E78AC">
              <w:t> ».</w:t>
            </w:r>
          </w:p>
        </w:tc>
      </w:tr>
    </w:tbl>
    <w:p w14:paraId="3D7DB89A" w14:textId="47865886" w:rsidR="00D74F75" w:rsidRDefault="00D74F75" w:rsidP="005E78AC"/>
    <w:p w14:paraId="486274CF" w14:textId="0428122D" w:rsidR="009365B9" w:rsidRPr="009365B9" w:rsidRDefault="009365B9" w:rsidP="009365B9">
      <w:pPr>
        <w:pStyle w:val="Heading2"/>
      </w:pPr>
      <w:bookmarkStart w:id="3" w:name="_Toc180502284"/>
      <w:r>
        <w:t>Annotations du GEC</w:t>
      </w:r>
      <w:bookmarkEnd w:id="3"/>
    </w:p>
    <w:p w14:paraId="41DFE6DB" w14:textId="410E665A" w:rsidR="009365B9" w:rsidRDefault="009365B9" w:rsidP="009365B9">
      <w:r>
        <w:t>Les annotations du GEC pour les échantillons du cancer du c</w:t>
      </w:r>
      <w:r w:rsidR="0063606C">
        <w:t>ô</w:t>
      </w:r>
      <w:r>
        <w:t xml:space="preserve">lon sont disponibles dans les fichiers </w:t>
      </w:r>
      <w:r w:rsidR="00183414">
        <w:rPr>
          <w:rFonts w:ascii="Consolas" w:hAnsi="Consolas"/>
          <w:color w:val="C00000"/>
        </w:rPr>
        <w:t>*_</w:t>
      </w:r>
      <w:r>
        <w:rPr>
          <w:rFonts w:ascii="Consolas" w:hAnsi="Consolas"/>
          <w:color w:val="C00000"/>
        </w:rPr>
        <w:t>GEC</w:t>
      </w:r>
      <w:r w:rsidRPr="005E78AC">
        <w:rPr>
          <w:rFonts w:ascii="Consolas" w:hAnsi="Consolas"/>
          <w:color w:val="C00000"/>
        </w:rPr>
        <w:t>.</w:t>
      </w:r>
      <w:r>
        <w:rPr>
          <w:rFonts w:ascii="Consolas" w:hAnsi="Consolas"/>
          <w:color w:val="C00000"/>
        </w:rPr>
        <w:t>csv</w:t>
      </w:r>
      <w:r w:rsidR="0063606C">
        <w:t xml:space="preserve">, individuellement </w:t>
      </w:r>
      <w:r>
        <w:t xml:space="preserve">pour chaque jeu de données. </w:t>
      </w:r>
    </w:p>
    <w:p w14:paraId="6410344F" w14:textId="5A9A9FE1" w:rsidR="009365B9" w:rsidRPr="009365B9" w:rsidRDefault="009365B9" w:rsidP="009365B9">
      <w:r w:rsidRPr="009365B9">
        <w:rPr>
          <w:noProof/>
        </w:rPr>
        <w:drawing>
          <wp:inline distT="0" distB="0" distL="0" distR="0" wp14:anchorId="78F46881" wp14:editId="4D74AFAE">
            <wp:extent cx="5760720" cy="55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59435"/>
                    </a:xfrm>
                    <a:prstGeom prst="rect">
                      <a:avLst/>
                    </a:prstGeom>
                  </pic:spPr>
                </pic:pic>
              </a:graphicData>
            </a:graphic>
          </wp:inline>
        </w:drawing>
      </w:r>
    </w:p>
    <w:p w14:paraId="4620B0B3" w14:textId="3E4C9674" w:rsidR="009365B9" w:rsidRDefault="009365B9" w:rsidP="005E78AC"/>
    <w:p w14:paraId="1B34B08B" w14:textId="7B7480B1" w:rsidR="00DB0708" w:rsidRDefault="00DB0708" w:rsidP="005E78AC">
      <w:r>
        <w:t>Exemple pour TCGA-COAD-FPKM_GEC.csv :</w:t>
      </w:r>
    </w:p>
    <w:p w14:paraId="4CFB754F" w14:textId="1BBE2B88" w:rsidR="00DB0708" w:rsidRDefault="00DB0708" w:rsidP="005E78AC">
      <w:r w:rsidRPr="00DB0708">
        <w:rPr>
          <w:noProof/>
        </w:rPr>
        <w:lastRenderedPageBreak/>
        <w:drawing>
          <wp:inline distT="0" distB="0" distL="0" distR="0" wp14:anchorId="243C795A" wp14:editId="3F08477D">
            <wp:extent cx="5163271" cy="2210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71" cy="2210108"/>
                    </a:xfrm>
                    <a:prstGeom prst="rect">
                      <a:avLst/>
                    </a:prstGeom>
                  </pic:spPr>
                </pic:pic>
              </a:graphicData>
            </a:graphic>
          </wp:inline>
        </w:drawing>
      </w:r>
    </w:p>
    <w:p w14:paraId="6998B394" w14:textId="09732C26" w:rsidR="005B051B" w:rsidRDefault="005B051B" w:rsidP="005E78AC">
      <w:proofErr w:type="spellStart"/>
      <w:proofErr w:type="gramStart"/>
      <w:r w:rsidRPr="0057263D">
        <w:rPr>
          <w:b/>
          <w:bCs/>
        </w:rPr>
        <w:t>id</w:t>
      </w:r>
      <w:proofErr w:type="gramEnd"/>
      <w:r w:rsidRPr="0057263D">
        <w:rPr>
          <w:b/>
          <w:bCs/>
        </w:rPr>
        <w:t>_sample</w:t>
      </w:r>
      <w:proofErr w:type="spellEnd"/>
      <w:r>
        <w:t> : l’identifiant des échantillons du cancer du côlon</w:t>
      </w:r>
    </w:p>
    <w:p w14:paraId="535CB9A7" w14:textId="46AC1D88" w:rsidR="005B051B" w:rsidRDefault="005B051B" w:rsidP="005E78AC">
      <w:r w:rsidRPr="0057263D">
        <w:rPr>
          <w:b/>
          <w:bCs/>
        </w:rPr>
        <w:t>[ERFE, HOXC6, LAMP5, ULBP2]</w:t>
      </w:r>
      <w:r>
        <w:t> : 0 – non activé, 1 – activé dans l’échantillon</w:t>
      </w:r>
    </w:p>
    <w:p w14:paraId="09983F67" w14:textId="4A5C9B0F" w:rsidR="005B051B" w:rsidRDefault="005B051B" w:rsidP="005E78AC">
      <w:r w:rsidRPr="0057263D">
        <w:rPr>
          <w:b/>
          <w:bCs/>
        </w:rPr>
        <w:t>GEC</w:t>
      </w:r>
      <w:r>
        <w:t> : le score GEC</w:t>
      </w:r>
      <w:r w:rsidR="0057263D">
        <w:t xml:space="preserve"> final</w:t>
      </w:r>
      <w:r>
        <w:t>, de 0 à 4, égal à la somme ERFE + HOXC6 + LAMP5 + ULBP2</w:t>
      </w:r>
    </w:p>
    <w:p w14:paraId="4DC27E84" w14:textId="77777777" w:rsidR="00DB0708" w:rsidRPr="005E78AC" w:rsidRDefault="00DB0708" w:rsidP="005E78AC"/>
    <w:p w14:paraId="13E9C396" w14:textId="0A00D0D6" w:rsidR="005E78AC" w:rsidRDefault="005E78AC" w:rsidP="005E78AC">
      <w:pPr>
        <w:pStyle w:val="Heading1"/>
      </w:pPr>
      <w:bookmarkStart w:id="4" w:name="_Toc180502285"/>
      <w:r w:rsidRPr="005E78AC">
        <w:t>Méthodologie</w:t>
      </w:r>
      <w:bookmarkEnd w:id="4"/>
    </w:p>
    <w:p w14:paraId="5C584901" w14:textId="41F58C19" w:rsidR="009365B9" w:rsidRDefault="009365B9" w:rsidP="009365B9"/>
    <w:p w14:paraId="040C61AB" w14:textId="18D18A38" w:rsidR="009365B9" w:rsidRDefault="009365B9" w:rsidP="009365B9">
      <w:pPr>
        <w:pStyle w:val="Heading2"/>
      </w:pPr>
      <w:bookmarkStart w:id="5" w:name="_Toc180502286"/>
      <w:r>
        <w:t xml:space="preserve">Identifier les échantillons du cancer du </w:t>
      </w:r>
      <w:r w:rsidR="007C5A82">
        <w:t>côlon</w:t>
      </w:r>
      <w:r>
        <w:t xml:space="preserve"> </w:t>
      </w:r>
      <w:r w:rsidR="00D33477">
        <w:t xml:space="preserve">(T-Colon) </w:t>
      </w:r>
      <w:r>
        <w:t>dans les données</w:t>
      </w:r>
      <w:bookmarkEnd w:id="5"/>
    </w:p>
    <w:p w14:paraId="1001693F" w14:textId="3F89370A" w:rsidR="007C5A82" w:rsidRDefault="007C5A82" w:rsidP="007C5A82">
      <w:r>
        <w:t xml:space="preserve">La première tâche à faire consiste à identifier les échantillons du cancer du côlon dans les données d’expression et dans les annotations cliniques. Les fichiers d’origine </w:t>
      </w:r>
      <w:r w:rsidRPr="005E78AC">
        <w:rPr>
          <w:rFonts w:ascii="Consolas" w:hAnsi="Consolas"/>
          <w:color w:val="C00000"/>
        </w:rPr>
        <w:t>EpiMed_experimental_grouping*.xlsx</w:t>
      </w:r>
      <w:r>
        <w:rPr>
          <w:rFonts w:ascii="Consolas" w:hAnsi="Consolas"/>
          <w:color w:val="C00000"/>
        </w:rPr>
        <w:t xml:space="preserve"> </w:t>
      </w:r>
      <w:r w:rsidRPr="0080644E">
        <w:rPr>
          <w:rFonts w:cstheme="minorHAnsi"/>
        </w:rPr>
        <w:t>et</w:t>
      </w:r>
      <w:r>
        <w:rPr>
          <w:rFonts w:ascii="Consolas" w:hAnsi="Consolas"/>
          <w:color w:val="C00000"/>
        </w:rPr>
        <w:t xml:space="preserve"> </w:t>
      </w:r>
      <w:r w:rsidRPr="005E78AC">
        <w:rPr>
          <w:rFonts w:ascii="Consolas" w:hAnsi="Consolas"/>
          <w:color w:val="C00000"/>
        </w:rPr>
        <w:t>expression_data*.csv</w:t>
      </w:r>
      <w:r>
        <w:t xml:space="preserve"> ne sont pas nettoyés. Ils </w:t>
      </w:r>
      <w:r w:rsidRPr="00BD169C">
        <w:rPr>
          <w:rFonts w:cstheme="minorHAnsi"/>
        </w:rPr>
        <w:t>contiennent</w:t>
      </w:r>
      <w:r>
        <w:t xml:space="preserve"> différents types échantillons, normaux et tumoraux, certains échantillons ne correspondent pas au tissu côlon, pour d’autres il n’existe pas de données d’expression.</w:t>
      </w:r>
    </w:p>
    <w:p w14:paraId="0E1162A3" w14:textId="00C0CC22" w:rsidR="007C5A82" w:rsidRDefault="007C5A82" w:rsidP="007C5A82">
      <w:r>
        <w:t xml:space="preserve">Tout d’abord, il faut retenir uniquement les échantillons du cancer du côlon pour lesquels les données d’expression sont disponibles. </w:t>
      </w:r>
    </w:p>
    <w:p w14:paraId="339E8D80" w14:textId="03702659" w:rsidR="007C5A82" w:rsidRDefault="007C5A82" w:rsidP="007C5A82">
      <w:r>
        <w:t>Il y a deux façons de le faire :</w:t>
      </w:r>
    </w:p>
    <w:p w14:paraId="007BD963" w14:textId="056554D4" w:rsidR="007C5A82" w:rsidRPr="00BD169C" w:rsidRDefault="007C5A82" w:rsidP="007C5A82">
      <w:pPr>
        <w:rPr>
          <w:rFonts w:cstheme="minorHAnsi"/>
        </w:rPr>
      </w:pPr>
      <w:r>
        <w:t xml:space="preserve">1) </w:t>
      </w:r>
      <w:r w:rsidR="00A2458B">
        <w:t>Le plus simples est d’i</w:t>
      </w:r>
      <w:r>
        <w:t xml:space="preserve">mporter les groupes d’échantillons déjà définis dans le fichier </w:t>
      </w:r>
      <w:proofErr w:type="spellStart"/>
      <w:r w:rsidRPr="00BD169C">
        <w:rPr>
          <w:rFonts w:ascii="Consolas" w:hAnsi="Consolas"/>
          <w:color w:val="C00000"/>
        </w:rPr>
        <w:t>project_</w:t>
      </w:r>
      <w:proofErr w:type="gramStart"/>
      <w:r w:rsidRPr="00BD169C">
        <w:rPr>
          <w:rFonts w:ascii="Consolas" w:hAnsi="Consolas"/>
          <w:color w:val="C00000"/>
        </w:rPr>
        <w:t>transcriptome.json</w:t>
      </w:r>
      <w:proofErr w:type="spellEnd"/>
      <w:proofErr w:type="gramEnd"/>
      <w:r w:rsidR="00BD169C" w:rsidRPr="00BD169C">
        <w:rPr>
          <w:rFonts w:cstheme="minorHAnsi"/>
        </w:rPr>
        <w:t>.</w:t>
      </w:r>
      <w:r w:rsidR="00BD169C">
        <w:rPr>
          <w:rFonts w:cstheme="minorHAnsi"/>
        </w:rPr>
        <w:t xml:space="preserve"> Le nom d</w:t>
      </w:r>
      <w:r w:rsidR="00A2458B">
        <w:rPr>
          <w:rFonts w:cstheme="minorHAnsi"/>
        </w:rPr>
        <w:t>u</w:t>
      </w:r>
      <w:r w:rsidR="00BD169C">
        <w:rPr>
          <w:rFonts w:cstheme="minorHAnsi"/>
        </w:rPr>
        <w:t xml:space="preserve"> groupe </w:t>
      </w:r>
      <w:r w:rsidR="00A2458B">
        <w:rPr>
          <w:rFonts w:cstheme="minorHAnsi"/>
        </w:rPr>
        <w:t>qui contient tous les</w:t>
      </w:r>
      <w:r w:rsidR="00BD169C">
        <w:rPr>
          <w:rFonts w:cstheme="minorHAnsi"/>
        </w:rPr>
        <w:t xml:space="preserve"> échantillons du cancer du côlon s’appelle « T-Colon » (</w:t>
      </w:r>
      <w:proofErr w:type="spellStart"/>
      <w:r w:rsidR="00BD169C">
        <w:rPr>
          <w:rFonts w:cstheme="minorHAnsi"/>
        </w:rPr>
        <w:t>tumor</w:t>
      </w:r>
      <w:proofErr w:type="spellEnd"/>
      <w:r w:rsidR="00BD169C">
        <w:rPr>
          <w:rFonts w:cstheme="minorHAnsi"/>
        </w:rPr>
        <w:t xml:space="preserve"> colon).</w:t>
      </w:r>
      <w:r w:rsidR="00A2458B">
        <w:rPr>
          <w:rFonts w:cstheme="minorHAnsi"/>
        </w:rPr>
        <w:t xml:space="preserve"> </w:t>
      </w:r>
    </w:p>
    <w:p w14:paraId="5C27BB2C" w14:textId="1B73F3CD" w:rsidR="005E78AC" w:rsidRDefault="007C5A82" w:rsidP="005E78AC">
      <w:r>
        <w:rPr>
          <w:noProof/>
        </w:rPr>
        <w:lastRenderedPageBreak/>
        <w:drawing>
          <wp:inline distT="0" distB="0" distL="0" distR="0" wp14:anchorId="706A4E84" wp14:editId="73BBCDA1">
            <wp:extent cx="5749925" cy="3028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3028315"/>
                    </a:xfrm>
                    <a:prstGeom prst="rect">
                      <a:avLst/>
                    </a:prstGeom>
                    <a:noFill/>
                    <a:ln>
                      <a:noFill/>
                    </a:ln>
                  </pic:spPr>
                </pic:pic>
              </a:graphicData>
            </a:graphic>
          </wp:inline>
        </w:drawing>
      </w:r>
    </w:p>
    <w:p w14:paraId="675C15A2" w14:textId="77777777" w:rsidR="00A41C7C" w:rsidRPr="00BD169C" w:rsidRDefault="00A41C7C" w:rsidP="00A41C7C">
      <w:pPr>
        <w:rPr>
          <w:rFonts w:cstheme="minorHAnsi"/>
        </w:rPr>
      </w:pPr>
      <w:r>
        <w:rPr>
          <w:rFonts w:cstheme="minorHAnsi"/>
        </w:rPr>
        <w:t>Le fichier contient également d’autres groupes qui peuvent être utilisés plus tard dans le projet.</w:t>
      </w:r>
    </w:p>
    <w:p w14:paraId="4276EC82" w14:textId="77777777" w:rsidR="00A41C7C" w:rsidRDefault="00A41C7C" w:rsidP="005E78AC"/>
    <w:p w14:paraId="621C205C" w14:textId="41F40558" w:rsidR="00A2458B" w:rsidRDefault="00A2458B" w:rsidP="005E78AC">
      <w:r>
        <w:t xml:space="preserve">2) Les échantillons </w:t>
      </w:r>
      <w:r w:rsidR="003245D6">
        <w:t>du</w:t>
      </w:r>
      <w:r>
        <w:t xml:space="preserve"> groupe « T-Colon »</w:t>
      </w:r>
      <w:r w:rsidR="00F56237">
        <w:t xml:space="preserve">, </w:t>
      </w:r>
      <w:r w:rsidR="003245D6">
        <w:t>listés</w:t>
      </w:r>
      <w:r w:rsidR="00F56237">
        <w:t xml:space="preserve"> ci-dessus,</w:t>
      </w:r>
      <w:r>
        <w:t xml:space="preserve"> ont été </w:t>
      </w:r>
      <w:r w:rsidR="0080644E">
        <w:t xml:space="preserve">initialement </w:t>
      </w:r>
      <w:r w:rsidR="003245D6">
        <w:t xml:space="preserve">identifiés </w:t>
      </w:r>
      <w:r w:rsidR="0080644E">
        <w:t>à partir des fichiers d’origine (</w:t>
      </w:r>
      <w:r w:rsidR="0080644E" w:rsidRPr="005E78AC">
        <w:rPr>
          <w:rFonts w:ascii="Consolas" w:hAnsi="Consolas"/>
          <w:color w:val="C00000"/>
        </w:rPr>
        <w:t>EpiMed_experimental_grouping*.xlsx</w:t>
      </w:r>
      <w:r w:rsidR="0080644E">
        <w:rPr>
          <w:rFonts w:ascii="Consolas" w:hAnsi="Consolas"/>
          <w:color w:val="C00000"/>
        </w:rPr>
        <w:t xml:space="preserve"> </w:t>
      </w:r>
      <w:r w:rsidR="0080644E" w:rsidRPr="0080644E">
        <w:rPr>
          <w:rFonts w:cstheme="minorHAnsi"/>
        </w:rPr>
        <w:t>et</w:t>
      </w:r>
      <w:r w:rsidR="0080644E">
        <w:rPr>
          <w:rFonts w:ascii="Consolas" w:hAnsi="Consolas"/>
          <w:color w:val="C00000"/>
        </w:rPr>
        <w:t xml:space="preserve"> </w:t>
      </w:r>
      <w:proofErr w:type="spellStart"/>
      <w:r w:rsidR="0080644E" w:rsidRPr="005E78AC">
        <w:rPr>
          <w:rFonts w:ascii="Consolas" w:hAnsi="Consolas"/>
          <w:color w:val="C00000"/>
        </w:rPr>
        <w:t>expression_data</w:t>
      </w:r>
      <w:proofErr w:type="spellEnd"/>
      <w:r w:rsidR="0080644E" w:rsidRPr="005E78AC">
        <w:rPr>
          <w:rFonts w:ascii="Consolas" w:hAnsi="Consolas"/>
          <w:color w:val="C00000"/>
        </w:rPr>
        <w:t>*.csv</w:t>
      </w:r>
      <w:r w:rsidR="0080644E">
        <w:t xml:space="preserve">) </w:t>
      </w:r>
      <w:r>
        <w:t xml:space="preserve">en appliquant les filtres </w:t>
      </w:r>
      <w:r w:rsidR="003245D6">
        <w:t>définis</w:t>
      </w:r>
      <w:r w:rsidR="003A414D">
        <w:t xml:space="preserve"> dans </w:t>
      </w:r>
      <w:r w:rsidR="003A414D" w:rsidRPr="003A414D">
        <w:rPr>
          <w:rFonts w:ascii="Consolas" w:hAnsi="Consolas"/>
          <w:color w:val="C00000"/>
        </w:rPr>
        <w:t>filters_group_samples.txt</w:t>
      </w:r>
      <w:r w:rsidR="003A414D">
        <w:t>.</w:t>
      </w:r>
      <w:r w:rsidR="00EB50CE">
        <w:t xml:space="preserve"> Il est possible de réappliquer ces filtres pour définir les groupes</w:t>
      </w:r>
      <w:r w:rsidR="00F56237">
        <w:t>.</w:t>
      </w:r>
      <w:r w:rsidR="003245D6">
        <w:t xml:space="preserve"> On doit normalement obtenir la même liste d’échantillons.</w:t>
      </w:r>
    </w:p>
    <w:p w14:paraId="497DD736" w14:textId="16CC776C" w:rsidR="003245D6" w:rsidRDefault="003C313C" w:rsidP="005E78AC">
      <w:r w:rsidRPr="003C313C">
        <w:rPr>
          <w:noProof/>
        </w:rPr>
        <w:drawing>
          <wp:inline distT="0" distB="0" distL="0" distR="0" wp14:anchorId="3D0E1C49" wp14:editId="4A9ECE46">
            <wp:extent cx="5760720" cy="1654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54810"/>
                    </a:xfrm>
                    <a:prstGeom prst="rect">
                      <a:avLst/>
                    </a:prstGeom>
                  </pic:spPr>
                </pic:pic>
              </a:graphicData>
            </a:graphic>
          </wp:inline>
        </w:drawing>
      </w:r>
    </w:p>
    <w:p w14:paraId="18B2F914" w14:textId="180529B9" w:rsidR="00A2458B" w:rsidRDefault="00194C5D" w:rsidP="005E78AC">
      <w:r>
        <w:t xml:space="preserve">Par exemple, le filtre pour le groupe T-Colon impose les conditions suivantes : la colonne « tissus </w:t>
      </w:r>
      <w:proofErr w:type="spellStart"/>
      <w:r>
        <w:t>status</w:t>
      </w:r>
      <w:proofErr w:type="spellEnd"/>
      <w:r>
        <w:t xml:space="preserve"> » = « tumoral » ET la colonne « tissue_group_level1 » = « colon » ET la colonne « annotations_1_status » est vide dans le fichier </w:t>
      </w:r>
      <w:proofErr w:type="spellStart"/>
      <w:r w:rsidRPr="005E78AC">
        <w:rPr>
          <w:rFonts w:ascii="Consolas" w:hAnsi="Consolas"/>
          <w:color w:val="C00000"/>
        </w:rPr>
        <w:t>EpiMed_experimental_grouping</w:t>
      </w:r>
      <w:proofErr w:type="spellEnd"/>
      <w:r w:rsidRPr="005E78AC">
        <w:rPr>
          <w:rFonts w:ascii="Consolas" w:hAnsi="Consolas"/>
          <w:color w:val="C00000"/>
        </w:rPr>
        <w:t>*.xlsx</w:t>
      </w:r>
      <w:r w:rsidRPr="00194C5D">
        <w:rPr>
          <w:rFonts w:cstheme="minorHAnsi"/>
        </w:rPr>
        <w:t>.</w:t>
      </w:r>
      <w:r>
        <w:rPr>
          <w:rFonts w:cstheme="minorHAnsi"/>
        </w:rPr>
        <w:t xml:space="preserve"> En plus, les échantillons correspondants doivent être disponibles dans le fichier de données d’expression </w:t>
      </w:r>
      <w:proofErr w:type="spellStart"/>
      <w:r w:rsidRPr="005E78AC">
        <w:rPr>
          <w:rFonts w:ascii="Consolas" w:hAnsi="Consolas"/>
          <w:color w:val="C00000"/>
        </w:rPr>
        <w:t>expression_data</w:t>
      </w:r>
      <w:proofErr w:type="spellEnd"/>
      <w:r w:rsidRPr="005E78AC">
        <w:rPr>
          <w:rFonts w:ascii="Consolas" w:hAnsi="Consolas"/>
          <w:color w:val="C00000"/>
        </w:rPr>
        <w:t>*.csv</w:t>
      </w:r>
      <w:r>
        <w:t>.</w:t>
      </w:r>
    </w:p>
    <w:p w14:paraId="191E5847" w14:textId="3C2D6CDE" w:rsidR="00002DA0" w:rsidRDefault="00002DA0" w:rsidP="005E78AC"/>
    <w:p w14:paraId="11280B43" w14:textId="63D3B13C" w:rsidR="00194C5D" w:rsidRDefault="00002DA0" w:rsidP="00002DA0">
      <w:r>
        <w:t>Vous devez normalement obtenir les effectifs suivants :</w:t>
      </w:r>
    </w:p>
    <w:tbl>
      <w:tblPr>
        <w:tblStyle w:val="TableGrid"/>
        <w:tblW w:w="9067" w:type="dxa"/>
        <w:tblLook w:val="04A0" w:firstRow="1" w:lastRow="0" w:firstColumn="1" w:lastColumn="0" w:noHBand="0" w:noVBand="1"/>
      </w:tblPr>
      <w:tblGrid>
        <w:gridCol w:w="3114"/>
        <w:gridCol w:w="5953"/>
      </w:tblGrid>
      <w:tr w:rsidR="00002DA0" w:rsidRPr="00002DA0" w14:paraId="605EE1AE" w14:textId="29017071" w:rsidTr="00884F8E">
        <w:tc>
          <w:tcPr>
            <w:tcW w:w="3114" w:type="dxa"/>
          </w:tcPr>
          <w:p w14:paraId="1803AF0A" w14:textId="77777777" w:rsidR="00002DA0" w:rsidRPr="005E78AC" w:rsidRDefault="00002DA0" w:rsidP="00B27191">
            <w:pPr>
              <w:rPr>
                <w:b/>
                <w:bCs/>
              </w:rPr>
            </w:pPr>
            <w:proofErr w:type="spellStart"/>
            <w:r w:rsidRPr="005E78AC">
              <w:rPr>
                <w:b/>
                <w:bCs/>
              </w:rPr>
              <w:t>Dataset</w:t>
            </w:r>
            <w:proofErr w:type="spellEnd"/>
          </w:p>
        </w:tc>
        <w:tc>
          <w:tcPr>
            <w:tcW w:w="5953" w:type="dxa"/>
          </w:tcPr>
          <w:p w14:paraId="3743713F" w14:textId="05885381" w:rsidR="00002DA0" w:rsidRPr="00002DA0" w:rsidRDefault="00002DA0" w:rsidP="00B27191">
            <w:pPr>
              <w:rPr>
                <w:b/>
                <w:bCs/>
                <w:lang w:val="en-GB"/>
              </w:rPr>
            </w:pPr>
            <w:r>
              <w:rPr>
                <w:b/>
                <w:bCs/>
                <w:lang w:val="en-GB"/>
              </w:rPr>
              <w:t>T-Colon</w:t>
            </w:r>
            <w:r w:rsidR="009F3EBC">
              <w:rPr>
                <w:b/>
                <w:bCs/>
                <w:lang w:val="en-GB"/>
              </w:rPr>
              <w:t xml:space="preserve"> (sample size)</w:t>
            </w:r>
          </w:p>
        </w:tc>
      </w:tr>
      <w:tr w:rsidR="00002DA0" w:rsidRPr="005E78AC" w14:paraId="589CFC9F" w14:textId="315C61B1" w:rsidTr="00884F8E">
        <w:tc>
          <w:tcPr>
            <w:tcW w:w="3114" w:type="dxa"/>
          </w:tcPr>
          <w:p w14:paraId="3304C241" w14:textId="77777777" w:rsidR="00002DA0" w:rsidRPr="005E78AC" w:rsidRDefault="00002DA0" w:rsidP="00B27191">
            <w:r w:rsidRPr="005E78AC">
              <w:t>TCGA-COAD</w:t>
            </w:r>
          </w:p>
        </w:tc>
        <w:tc>
          <w:tcPr>
            <w:tcW w:w="5953" w:type="dxa"/>
          </w:tcPr>
          <w:p w14:paraId="401C9B0B" w14:textId="4469DFD3" w:rsidR="00002DA0" w:rsidRPr="005E78AC" w:rsidRDefault="00884F8E" w:rsidP="00B27191">
            <w:r w:rsidRPr="00884F8E">
              <w:t>398</w:t>
            </w:r>
          </w:p>
        </w:tc>
      </w:tr>
      <w:tr w:rsidR="00002DA0" w:rsidRPr="005E78AC" w14:paraId="681EE758" w14:textId="2474C360" w:rsidTr="00884F8E">
        <w:tc>
          <w:tcPr>
            <w:tcW w:w="3114" w:type="dxa"/>
          </w:tcPr>
          <w:p w14:paraId="199444C5" w14:textId="77777777" w:rsidR="00002DA0" w:rsidRPr="005E78AC" w:rsidRDefault="00002DA0" w:rsidP="00B27191">
            <w:r w:rsidRPr="005E78AC">
              <w:t>GSE39582</w:t>
            </w:r>
          </w:p>
        </w:tc>
        <w:tc>
          <w:tcPr>
            <w:tcW w:w="5953" w:type="dxa"/>
          </w:tcPr>
          <w:p w14:paraId="2E77ED34" w14:textId="1EE4141A" w:rsidR="00002DA0" w:rsidRPr="005E78AC" w:rsidRDefault="00884F8E" w:rsidP="00B27191">
            <w:r w:rsidRPr="00884F8E">
              <w:t>566</w:t>
            </w:r>
          </w:p>
        </w:tc>
      </w:tr>
      <w:tr w:rsidR="00002DA0" w:rsidRPr="005E78AC" w14:paraId="406B59D2" w14:textId="49D3A7A0" w:rsidTr="00884F8E">
        <w:tc>
          <w:tcPr>
            <w:tcW w:w="3114" w:type="dxa"/>
          </w:tcPr>
          <w:p w14:paraId="049E1A80" w14:textId="77777777" w:rsidR="00002DA0" w:rsidRPr="005E78AC" w:rsidRDefault="00002DA0" w:rsidP="00B27191">
            <w:r w:rsidRPr="005E78AC">
              <w:t>GSE17536</w:t>
            </w:r>
          </w:p>
        </w:tc>
        <w:tc>
          <w:tcPr>
            <w:tcW w:w="5953" w:type="dxa"/>
          </w:tcPr>
          <w:p w14:paraId="57D286C1" w14:textId="782E956D" w:rsidR="00002DA0" w:rsidRPr="005E78AC" w:rsidRDefault="00002DA0" w:rsidP="00B27191">
            <w:r>
              <w:t>177</w:t>
            </w:r>
          </w:p>
        </w:tc>
      </w:tr>
    </w:tbl>
    <w:p w14:paraId="4B434860" w14:textId="3EA6BBA7" w:rsidR="00002DA0" w:rsidRDefault="00002DA0" w:rsidP="00002DA0"/>
    <w:p w14:paraId="1D79D79A" w14:textId="77777777" w:rsidR="00002DA0" w:rsidRDefault="00002DA0" w:rsidP="00002DA0"/>
    <w:p w14:paraId="0B7C76B9" w14:textId="758A94FF" w:rsidR="005E78AC" w:rsidRDefault="00145570" w:rsidP="005E78AC">
      <w:pPr>
        <w:pStyle w:val="Heading2"/>
      </w:pPr>
      <w:bookmarkStart w:id="6" w:name="_Toc180502287"/>
      <w:r>
        <w:lastRenderedPageBreak/>
        <w:t>Construire des courbes de survie</w:t>
      </w:r>
      <w:r w:rsidR="005E78AC">
        <w:t xml:space="preserve"> pour le Gene Expression Classifier (GEC)</w:t>
      </w:r>
      <w:bookmarkEnd w:id="6"/>
    </w:p>
    <w:p w14:paraId="6082FD76" w14:textId="1C427767" w:rsidR="00AA3686" w:rsidRDefault="00AA3686" w:rsidP="00AA3686"/>
    <w:p w14:paraId="2229C069" w14:textId="12CD27DD" w:rsidR="00AA3686" w:rsidRDefault="00AA3686" w:rsidP="00AA3686">
      <w:r>
        <w:t xml:space="preserve">Faire séparément pour les 3 </w:t>
      </w:r>
      <w:proofErr w:type="spellStart"/>
      <w:r>
        <w:t>datasets</w:t>
      </w:r>
      <w:proofErr w:type="spellEnd"/>
      <w:r>
        <w:t>.</w:t>
      </w:r>
    </w:p>
    <w:p w14:paraId="637F06B9" w14:textId="77777777" w:rsidR="00AA3686" w:rsidRDefault="00AA3686" w:rsidP="00AA3686"/>
    <w:p w14:paraId="7A5E207F" w14:textId="0D6FBDB3" w:rsidR="00AA3686" w:rsidRDefault="00AA3686" w:rsidP="00AA3686">
      <w:r>
        <w:t xml:space="preserve">Exemple pour le </w:t>
      </w:r>
      <w:proofErr w:type="spellStart"/>
      <w:r>
        <w:t>dataset</w:t>
      </w:r>
      <w:proofErr w:type="spellEnd"/>
      <w:r>
        <w:t xml:space="preserve"> TCGA-COAD :</w:t>
      </w:r>
    </w:p>
    <w:p w14:paraId="3CEB7499" w14:textId="1CD9AD41" w:rsidR="00AA3686" w:rsidRDefault="00AA3686" w:rsidP="00AA3686">
      <w:r>
        <w:t>1) Utiliser le fichier d’annotation GEC pour savoir quel score GEC correspond à quel échantillon.</w:t>
      </w:r>
    </w:p>
    <w:p w14:paraId="39483BDE" w14:textId="30C0DB1B" w:rsidR="00AA3686" w:rsidRDefault="00AA3686" w:rsidP="00AA3686">
      <w:r w:rsidRPr="00AA3686">
        <w:rPr>
          <w:noProof/>
        </w:rPr>
        <w:drawing>
          <wp:inline distT="0" distB="0" distL="0" distR="0" wp14:anchorId="160B7253" wp14:editId="219754C3">
            <wp:extent cx="5760720" cy="173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3355"/>
                    </a:xfrm>
                    <a:prstGeom prst="rect">
                      <a:avLst/>
                    </a:prstGeom>
                  </pic:spPr>
                </pic:pic>
              </a:graphicData>
            </a:graphic>
          </wp:inline>
        </w:drawing>
      </w:r>
    </w:p>
    <w:p w14:paraId="6884A6D8" w14:textId="318DAFAF" w:rsidR="00AA3686" w:rsidRDefault="00AA3686" w:rsidP="00AA3686">
      <w:r>
        <w:t>2) Utiliser le fichier d’annotations cliniques pour extraire les données de survie pour les mêmes échantillons. Prendre les colonnes « </w:t>
      </w:r>
      <w:proofErr w:type="spellStart"/>
      <w:r>
        <w:t>os_months</w:t>
      </w:r>
      <w:proofErr w:type="spellEnd"/>
      <w:r>
        <w:t> » et « </w:t>
      </w:r>
      <w:proofErr w:type="spellStart"/>
      <w:r>
        <w:t>os_censor</w:t>
      </w:r>
      <w:proofErr w:type="spellEnd"/>
      <w:r>
        <w:t> » dans le premier onglet de ce fichier.</w:t>
      </w:r>
    </w:p>
    <w:p w14:paraId="0471B725" w14:textId="2399A1D8" w:rsidR="00AA3686" w:rsidRDefault="00AA3686" w:rsidP="00AA3686">
      <w:r w:rsidRPr="00AA3686">
        <w:rPr>
          <w:noProof/>
        </w:rPr>
        <w:drawing>
          <wp:inline distT="0" distB="0" distL="0" distR="0" wp14:anchorId="7F037081" wp14:editId="7B5F0A54">
            <wp:extent cx="5760720" cy="179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705"/>
                    </a:xfrm>
                    <a:prstGeom prst="rect">
                      <a:avLst/>
                    </a:prstGeom>
                  </pic:spPr>
                </pic:pic>
              </a:graphicData>
            </a:graphic>
          </wp:inline>
        </w:drawing>
      </w:r>
    </w:p>
    <w:p w14:paraId="771D7545" w14:textId="2024094E" w:rsidR="00581F18" w:rsidRDefault="00AA3686" w:rsidP="00AA3686">
      <w:r>
        <w:t xml:space="preserve">3) </w:t>
      </w:r>
      <w:r w:rsidR="00581F18">
        <w:t>Recalculer les données de survie, en les arrêtant à 120 mois.</w:t>
      </w:r>
      <w:r w:rsidR="00656EB5">
        <w:t xml:space="preserve"> On considère qu’à partir de 120 mois (10 ans) les données de survie sont moins fiables. Si le patient décède 10 ans après son cancer il est possible que la cause de décès ne soit pas son cancer mais une autre maladie ou une autre cause (accident).</w:t>
      </w:r>
    </w:p>
    <w:p w14:paraId="58C17DF2" w14:textId="77777777" w:rsidR="00581F18" w:rsidRDefault="00581F18" w:rsidP="00AA3686">
      <w:r>
        <w:t>Voici l’algorithme :</w:t>
      </w:r>
    </w:p>
    <w:p w14:paraId="57E2AA11" w14:textId="5A40D4B4" w:rsidR="00AA3686" w:rsidRDefault="00581F18" w:rsidP="00AA3686">
      <w:r>
        <w:t xml:space="preserve">- Définir une variable </w:t>
      </w:r>
      <w:r w:rsidR="00633A7C" w:rsidRPr="00633A7C">
        <w:rPr>
          <w:noProof/>
        </w:rPr>
        <w:drawing>
          <wp:inline distT="0" distB="0" distL="0" distR="0" wp14:anchorId="475A9580" wp14:editId="79263387">
            <wp:extent cx="1838582" cy="1333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133369"/>
                    </a:xfrm>
                    <a:prstGeom prst="rect">
                      <a:avLst/>
                    </a:prstGeom>
                  </pic:spPr>
                </pic:pic>
              </a:graphicData>
            </a:graphic>
          </wp:inline>
        </w:drawing>
      </w:r>
    </w:p>
    <w:p w14:paraId="21C46B45" w14:textId="77777777" w:rsidR="00633A7C" w:rsidRDefault="00633A7C" w:rsidP="00AA3686">
      <w:r>
        <w:t>- Pour chaque échantillon, regarder le « </w:t>
      </w:r>
      <w:proofErr w:type="spellStart"/>
      <w:r>
        <w:t>os_months</w:t>
      </w:r>
      <w:proofErr w:type="spellEnd"/>
      <w:r>
        <w:t xml:space="preserve"> ». </w:t>
      </w:r>
    </w:p>
    <w:p w14:paraId="522DB73B" w14:textId="3872C465" w:rsidR="00656EB5" w:rsidRDefault="00633A7C" w:rsidP="00AA3686">
      <w:r>
        <w:t xml:space="preserve">- Si </w:t>
      </w:r>
      <w:proofErr w:type="spellStart"/>
      <w:r>
        <w:t>os_months</w:t>
      </w:r>
      <w:proofErr w:type="spellEnd"/>
      <w:r>
        <w:t xml:space="preserve"> &gt; </w:t>
      </w:r>
      <w:proofErr w:type="spellStart"/>
      <w:r>
        <w:t>max_survival_time</w:t>
      </w:r>
      <w:proofErr w:type="spellEnd"/>
      <w:r>
        <w:t xml:space="preserve">, alors </w:t>
      </w:r>
      <w:proofErr w:type="spellStart"/>
      <w:r>
        <w:t>os_months</w:t>
      </w:r>
      <w:proofErr w:type="spellEnd"/>
      <w:r>
        <w:t xml:space="preserve"> = </w:t>
      </w:r>
      <w:proofErr w:type="spellStart"/>
      <w:r>
        <w:t>max_survival_time</w:t>
      </w:r>
      <w:proofErr w:type="spellEnd"/>
      <w:r>
        <w:t xml:space="preserve"> ET </w:t>
      </w:r>
      <w:proofErr w:type="spellStart"/>
      <w:r>
        <w:t>os_censor</w:t>
      </w:r>
      <w:proofErr w:type="spellEnd"/>
      <w:r>
        <w:t xml:space="preserve"> = 0</w:t>
      </w:r>
    </w:p>
    <w:p w14:paraId="25E5194E" w14:textId="2B8DBF2D" w:rsidR="00656EB5" w:rsidRDefault="00656EB5" w:rsidP="00AA3686">
      <w:r>
        <w:t>En Python pandas :</w:t>
      </w:r>
    </w:p>
    <w:p w14:paraId="05D5BAB4" w14:textId="1D9C5937" w:rsidR="00656EB5" w:rsidRDefault="00656EB5" w:rsidP="00AA3686">
      <w:r w:rsidRPr="00656EB5">
        <w:rPr>
          <w:noProof/>
        </w:rPr>
        <w:drawing>
          <wp:inline distT="0" distB="0" distL="0" distR="0" wp14:anchorId="121756A5" wp14:editId="2463AC3E">
            <wp:extent cx="4210638" cy="800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638" cy="800212"/>
                    </a:xfrm>
                    <a:prstGeom prst="rect">
                      <a:avLst/>
                    </a:prstGeom>
                  </pic:spPr>
                </pic:pic>
              </a:graphicData>
            </a:graphic>
          </wp:inline>
        </w:drawing>
      </w:r>
    </w:p>
    <w:p w14:paraId="41A17E76" w14:textId="5E682ACC" w:rsidR="00633A7C" w:rsidRDefault="00656EB5" w:rsidP="00AA3686">
      <w:r>
        <w:t>Résultat :</w:t>
      </w:r>
    </w:p>
    <w:p w14:paraId="5D3EB91C" w14:textId="09C7F221" w:rsidR="00656EB5" w:rsidRDefault="00656EB5" w:rsidP="00AA3686">
      <w:r>
        <w:t>Avant</w:t>
      </w:r>
    </w:p>
    <w:p w14:paraId="784249E0" w14:textId="5339FBC0" w:rsidR="00656EB5" w:rsidRDefault="00656EB5" w:rsidP="00AA3686">
      <w:r w:rsidRPr="00656EB5">
        <w:rPr>
          <w:noProof/>
        </w:rPr>
        <w:drawing>
          <wp:inline distT="0" distB="0" distL="0" distR="0" wp14:anchorId="02A0D7E2" wp14:editId="6F86B39E">
            <wp:extent cx="3315163"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163" cy="1114581"/>
                    </a:xfrm>
                    <a:prstGeom prst="rect">
                      <a:avLst/>
                    </a:prstGeom>
                  </pic:spPr>
                </pic:pic>
              </a:graphicData>
            </a:graphic>
          </wp:inline>
        </w:drawing>
      </w:r>
    </w:p>
    <w:p w14:paraId="3EA09FFC" w14:textId="2BE72844" w:rsidR="00656EB5" w:rsidRDefault="00656EB5" w:rsidP="00AA3686">
      <w:r>
        <w:t>Après</w:t>
      </w:r>
    </w:p>
    <w:p w14:paraId="5E00794A" w14:textId="1B1A4DC8" w:rsidR="00656EB5" w:rsidRDefault="00656EB5" w:rsidP="00AA3686">
      <w:r w:rsidRPr="00656EB5">
        <w:rPr>
          <w:noProof/>
        </w:rPr>
        <w:drawing>
          <wp:inline distT="0" distB="0" distL="0" distR="0" wp14:anchorId="43427A8B" wp14:editId="6863F325">
            <wp:extent cx="3305636" cy="109552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1095528"/>
                    </a:xfrm>
                    <a:prstGeom prst="rect">
                      <a:avLst/>
                    </a:prstGeom>
                  </pic:spPr>
                </pic:pic>
              </a:graphicData>
            </a:graphic>
          </wp:inline>
        </w:drawing>
      </w:r>
    </w:p>
    <w:p w14:paraId="5B26A14F" w14:textId="266E34C8" w:rsidR="00895766" w:rsidRDefault="00895766" w:rsidP="00AA3686">
      <w:pPr>
        <w:rPr>
          <w:noProof/>
        </w:rPr>
      </w:pPr>
      <w:r>
        <w:lastRenderedPageBreak/>
        <w:t>4) Tracer la courbe de Kaplan-Meier</w:t>
      </w:r>
      <w:r w:rsidR="001054D2">
        <w:t xml:space="preserve"> pour les différents groupes GEC</w:t>
      </w:r>
      <w:r w:rsidR="001E6F0B">
        <w:t xml:space="preserve">. Utiliser, par exemple, le package </w:t>
      </w:r>
      <w:r w:rsidR="00037AA4">
        <w:t>P</w:t>
      </w:r>
      <w:r w:rsidR="001E6F0B">
        <w:t xml:space="preserve">ython </w:t>
      </w:r>
      <w:r w:rsidR="00D22113">
        <w:t>« </w:t>
      </w:r>
      <w:proofErr w:type="spellStart"/>
      <w:r w:rsidR="00D22113">
        <w:t>lifelines</w:t>
      </w:r>
      <w:proofErr w:type="spellEnd"/>
      <w:r w:rsidR="00D22113">
        <w:t xml:space="preserve"> » (voir </w:t>
      </w:r>
      <w:proofErr w:type="spellStart"/>
      <w:r w:rsidR="00D22113" w:rsidRPr="00D22113">
        <w:t>KaplanMeierFitter</w:t>
      </w:r>
      <w:proofErr w:type="spellEnd"/>
      <w:r w:rsidR="00D22113">
        <w:t>).</w:t>
      </w:r>
    </w:p>
    <w:p w14:paraId="6CEBB3B8" w14:textId="1FDA03A9" w:rsidR="00452A3D" w:rsidRDefault="00452A3D" w:rsidP="00AA3686">
      <w:pPr>
        <w:rPr>
          <w:noProof/>
        </w:rPr>
      </w:pPr>
      <w:r>
        <w:rPr>
          <w:noProof/>
        </w:rPr>
        <w:drawing>
          <wp:inline distT="0" distB="0" distL="0" distR="0" wp14:anchorId="6B8C7790" wp14:editId="06D3C9D3">
            <wp:extent cx="2138400" cy="272160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8400" cy="2721600"/>
                    </a:xfrm>
                    <a:prstGeom prst="rect">
                      <a:avLst/>
                    </a:prstGeom>
                    <a:noFill/>
                    <a:ln>
                      <a:noFill/>
                    </a:ln>
                  </pic:spPr>
                </pic:pic>
              </a:graphicData>
            </a:graphic>
          </wp:inline>
        </w:drawing>
      </w:r>
      <w:r>
        <w:rPr>
          <w:noProof/>
        </w:rPr>
        <w:tab/>
        <w:t xml:space="preserve"> </w:t>
      </w:r>
      <w:r>
        <w:rPr>
          <w:noProof/>
        </w:rPr>
        <w:drawing>
          <wp:inline distT="0" distB="0" distL="0" distR="0" wp14:anchorId="5398AE9E" wp14:editId="236FD13F">
            <wp:extent cx="2138400" cy="272160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8400" cy="2721600"/>
                    </a:xfrm>
                    <a:prstGeom prst="rect">
                      <a:avLst/>
                    </a:prstGeom>
                    <a:noFill/>
                    <a:ln>
                      <a:noFill/>
                    </a:ln>
                  </pic:spPr>
                </pic:pic>
              </a:graphicData>
            </a:graphic>
          </wp:inline>
        </w:drawing>
      </w:r>
    </w:p>
    <w:p w14:paraId="09CB35A0" w14:textId="0F7D3DEA" w:rsidR="00452A3D" w:rsidRPr="00AA3686" w:rsidRDefault="00452A3D" w:rsidP="00AA3686">
      <w:r>
        <w:rPr>
          <w:noProof/>
        </w:rPr>
        <w:t xml:space="preserve">5) Les p-valeurs peuvent être calculées avec le test statistique du logrank (voir </w:t>
      </w:r>
      <w:r w:rsidRPr="00452A3D">
        <w:rPr>
          <w:noProof/>
        </w:rPr>
        <w:t>multivariate_logrank_test</w:t>
      </w:r>
      <w:r>
        <w:rPr>
          <w:noProof/>
        </w:rPr>
        <w:t xml:space="preserve"> dans « lifelines ») et avec le modèle de Cox (voir </w:t>
      </w:r>
      <w:r w:rsidRPr="00452A3D">
        <w:rPr>
          <w:noProof/>
        </w:rPr>
        <w:t>CoxPHFitter</w:t>
      </w:r>
      <w:r>
        <w:rPr>
          <w:noProof/>
        </w:rPr>
        <w:t xml:space="preserve"> dans « lifelines").</w:t>
      </w:r>
    </w:p>
    <w:sectPr w:rsidR="00452A3D" w:rsidRPr="00AA3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1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F31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5B7D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D972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783210"/>
    <w:multiLevelType w:val="hybridMultilevel"/>
    <w:tmpl w:val="9E383E8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34DF07A1"/>
    <w:multiLevelType w:val="hybridMultilevel"/>
    <w:tmpl w:val="5A9A3B1E"/>
    <w:lvl w:ilvl="0" w:tplc="28C8D59E">
      <w:start w:val="1"/>
      <w:numFmt w:val="decimal"/>
      <w:lvlText w:val="%1."/>
      <w:lvlJc w:val="left"/>
      <w:pPr>
        <w:ind w:left="720" w:hanging="360"/>
      </w:pPr>
      <w:rPr>
        <w:rFonts w:asciiTheme="minorHAnsi" w:eastAsiaTheme="minorHAnsi" w:hAnsi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A6237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1918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9321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163EA7"/>
    <w:multiLevelType w:val="hybridMultilevel"/>
    <w:tmpl w:val="7AB60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4107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26528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E6720F"/>
    <w:multiLevelType w:val="hybridMultilevel"/>
    <w:tmpl w:val="0470B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BB26C5"/>
    <w:multiLevelType w:val="hybridMultilevel"/>
    <w:tmpl w:val="59F461E6"/>
    <w:lvl w:ilvl="0" w:tplc="28C8D59E">
      <w:start w:val="1"/>
      <w:numFmt w:val="decimal"/>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4BB091B"/>
    <w:multiLevelType w:val="hybridMultilevel"/>
    <w:tmpl w:val="FF1A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1"/>
  </w:num>
  <w:num w:numId="5">
    <w:abstractNumId w:val="2"/>
  </w:num>
  <w:num w:numId="6">
    <w:abstractNumId w:val="7"/>
  </w:num>
  <w:num w:numId="7">
    <w:abstractNumId w:val="0"/>
  </w:num>
  <w:num w:numId="8">
    <w:abstractNumId w:val="3"/>
  </w:num>
  <w:num w:numId="9">
    <w:abstractNumId w:val="8"/>
  </w:num>
  <w:num w:numId="10">
    <w:abstractNumId w:val="12"/>
  </w:num>
  <w:num w:numId="11">
    <w:abstractNumId w:val="13"/>
  </w:num>
  <w:num w:numId="12">
    <w:abstractNumId w:val="5"/>
  </w:num>
  <w:num w:numId="13">
    <w:abstractNumId w:val="4"/>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6F"/>
    <w:rsid w:val="00002DA0"/>
    <w:rsid w:val="00006890"/>
    <w:rsid w:val="000112C6"/>
    <w:rsid w:val="00020FE5"/>
    <w:rsid w:val="00022DFF"/>
    <w:rsid w:val="00027D52"/>
    <w:rsid w:val="00032768"/>
    <w:rsid w:val="00037AA4"/>
    <w:rsid w:val="000406D9"/>
    <w:rsid w:val="0004479A"/>
    <w:rsid w:val="00050EF6"/>
    <w:rsid w:val="00053691"/>
    <w:rsid w:val="00056150"/>
    <w:rsid w:val="00074A68"/>
    <w:rsid w:val="0008539B"/>
    <w:rsid w:val="000B2646"/>
    <w:rsid w:val="000B5273"/>
    <w:rsid w:val="000C57EB"/>
    <w:rsid w:val="000C60C7"/>
    <w:rsid w:val="000D19C0"/>
    <w:rsid w:val="000F00FB"/>
    <w:rsid w:val="001054D2"/>
    <w:rsid w:val="001060DA"/>
    <w:rsid w:val="00111D08"/>
    <w:rsid w:val="00113077"/>
    <w:rsid w:val="00144257"/>
    <w:rsid w:val="00145570"/>
    <w:rsid w:val="0015433A"/>
    <w:rsid w:val="001640AD"/>
    <w:rsid w:val="00183414"/>
    <w:rsid w:val="00194C19"/>
    <w:rsid w:val="00194C5D"/>
    <w:rsid w:val="001B2825"/>
    <w:rsid w:val="001B571A"/>
    <w:rsid w:val="001E6F0B"/>
    <w:rsid w:val="00205DC8"/>
    <w:rsid w:val="00216D31"/>
    <w:rsid w:val="00232E66"/>
    <w:rsid w:val="00234AEE"/>
    <w:rsid w:val="00251C13"/>
    <w:rsid w:val="00277155"/>
    <w:rsid w:val="0027744D"/>
    <w:rsid w:val="002843FA"/>
    <w:rsid w:val="00297D52"/>
    <w:rsid w:val="002C5212"/>
    <w:rsid w:val="00301451"/>
    <w:rsid w:val="00301D05"/>
    <w:rsid w:val="00305179"/>
    <w:rsid w:val="00310393"/>
    <w:rsid w:val="00310CB7"/>
    <w:rsid w:val="003136A7"/>
    <w:rsid w:val="003245D6"/>
    <w:rsid w:val="00353EA1"/>
    <w:rsid w:val="0037373C"/>
    <w:rsid w:val="00374C65"/>
    <w:rsid w:val="00387329"/>
    <w:rsid w:val="00390C6F"/>
    <w:rsid w:val="00393323"/>
    <w:rsid w:val="00393C26"/>
    <w:rsid w:val="003A414D"/>
    <w:rsid w:val="003C28C6"/>
    <w:rsid w:val="003C313C"/>
    <w:rsid w:val="003D0395"/>
    <w:rsid w:val="003D312D"/>
    <w:rsid w:val="003F1C1A"/>
    <w:rsid w:val="00402B80"/>
    <w:rsid w:val="00403D5C"/>
    <w:rsid w:val="00412BB3"/>
    <w:rsid w:val="0041637C"/>
    <w:rsid w:val="004304CD"/>
    <w:rsid w:val="004469A6"/>
    <w:rsid w:val="00452A3D"/>
    <w:rsid w:val="00466369"/>
    <w:rsid w:val="00490ED6"/>
    <w:rsid w:val="00495B84"/>
    <w:rsid w:val="004A39BF"/>
    <w:rsid w:val="004A54F9"/>
    <w:rsid w:val="004A597F"/>
    <w:rsid w:val="004B635B"/>
    <w:rsid w:val="004C387B"/>
    <w:rsid w:val="004C54FF"/>
    <w:rsid w:val="004D45DB"/>
    <w:rsid w:val="004E24B6"/>
    <w:rsid w:val="004E6139"/>
    <w:rsid w:val="004F1599"/>
    <w:rsid w:val="004F385D"/>
    <w:rsid w:val="005027EE"/>
    <w:rsid w:val="005066EB"/>
    <w:rsid w:val="00513DEB"/>
    <w:rsid w:val="00514222"/>
    <w:rsid w:val="00524A7C"/>
    <w:rsid w:val="00547443"/>
    <w:rsid w:val="00552897"/>
    <w:rsid w:val="0057263D"/>
    <w:rsid w:val="00577B55"/>
    <w:rsid w:val="00581F18"/>
    <w:rsid w:val="00583219"/>
    <w:rsid w:val="005A54FC"/>
    <w:rsid w:val="005A5DFE"/>
    <w:rsid w:val="005B0483"/>
    <w:rsid w:val="005B051B"/>
    <w:rsid w:val="005B0C68"/>
    <w:rsid w:val="005B1622"/>
    <w:rsid w:val="005B2B20"/>
    <w:rsid w:val="005C64DA"/>
    <w:rsid w:val="005D0457"/>
    <w:rsid w:val="005D67EB"/>
    <w:rsid w:val="005E4BCF"/>
    <w:rsid w:val="005E78AC"/>
    <w:rsid w:val="005F38A9"/>
    <w:rsid w:val="005F3FF4"/>
    <w:rsid w:val="006018E2"/>
    <w:rsid w:val="006034B7"/>
    <w:rsid w:val="00605816"/>
    <w:rsid w:val="00611AE6"/>
    <w:rsid w:val="0062138D"/>
    <w:rsid w:val="00633A7C"/>
    <w:rsid w:val="0063464F"/>
    <w:rsid w:val="0063606C"/>
    <w:rsid w:val="00636DA5"/>
    <w:rsid w:val="0064045A"/>
    <w:rsid w:val="00656EB5"/>
    <w:rsid w:val="0066149A"/>
    <w:rsid w:val="006958FF"/>
    <w:rsid w:val="006B4A57"/>
    <w:rsid w:val="006C15C1"/>
    <w:rsid w:val="006D0D31"/>
    <w:rsid w:val="006D198E"/>
    <w:rsid w:val="006F0999"/>
    <w:rsid w:val="006F17C7"/>
    <w:rsid w:val="006F3E4B"/>
    <w:rsid w:val="007012F4"/>
    <w:rsid w:val="00702D6E"/>
    <w:rsid w:val="007243FF"/>
    <w:rsid w:val="00741330"/>
    <w:rsid w:val="007524FB"/>
    <w:rsid w:val="007611AD"/>
    <w:rsid w:val="0076206C"/>
    <w:rsid w:val="00772867"/>
    <w:rsid w:val="00780268"/>
    <w:rsid w:val="00782561"/>
    <w:rsid w:val="00787394"/>
    <w:rsid w:val="00790EC7"/>
    <w:rsid w:val="00794979"/>
    <w:rsid w:val="0079749A"/>
    <w:rsid w:val="007A4699"/>
    <w:rsid w:val="007B60FD"/>
    <w:rsid w:val="007C5A82"/>
    <w:rsid w:val="007D2385"/>
    <w:rsid w:val="007D2A87"/>
    <w:rsid w:val="007D53F8"/>
    <w:rsid w:val="007E070B"/>
    <w:rsid w:val="00804E3C"/>
    <w:rsid w:val="0080644E"/>
    <w:rsid w:val="008129A9"/>
    <w:rsid w:val="00816A53"/>
    <w:rsid w:val="0083643F"/>
    <w:rsid w:val="00851465"/>
    <w:rsid w:val="008808CB"/>
    <w:rsid w:val="00884F8E"/>
    <w:rsid w:val="00895766"/>
    <w:rsid w:val="008A7B25"/>
    <w:rsid w:val="008C487B"/>
    <w:rsid w:val="008D1859"/>
    <w:rsid w:val="008D27F2"/>
    <w:rsid w:val="008E19A9"/>
    <w:rsid w:val="008E36F6"/>
    <w:rsid w:val="008E5BA8"/>
    <w:rsid w:val="009027B7"/>
    <w:rsid w:val="00930AAD"/>
    <w:rsid w:val="0093353B"/>
    <w:rsid w:val="009365B9"/>
    <w:rsid w:val="00946354"/>
    <w:rsid w:val="009945DC"/>
    <w:rsid w:val="009A4614"/>
    <w:rsid w:val="009B00FC"/>
    <w:rsid w:val="009B047A"/>
    <w:rsid w:val="009B51DD"/>
    <w:rsid w:val="009C2593"/>
    <w:rsid w:val="009C5D98"/>
    <w:rsid w:val="009D0BB3"/>
    <w:rsid w:val="009D54FC"/>
    <w:rsid w:val="009E1098"/>
    <w:rsid w:val="009E2DA6"/>
    <w:rsid w:val="009F3EBC"/>
    <w:rsid w:val="00A03294"/>
    <w:rsid w:val="00A17C54"/>
    <w:rsid w:val="00A236D4"/>
    <w:rsid w:val="00A2458B"/>
    <w:rsid w:val="00A36496"/>
    <w:rsid w:val="00A41513"/>
    <w:rsid w:val="00A41C7C"/>
    <w:rsid w:val="00A4290D"/>
    <w:rsid w:val="00A43081"/>
    <w:rsid w:val="00A45C60"/>
    <w:rsid w:val="00A47275"/>
    <w:rsid w:val="00A57424"/>
    <w:rsid w:val="00A57730"/>
    <w:rsid w:val="00A850CD"/>
    <w:rsid w:val="00A86283"/>
    <w:rsid w:val="00AA3686"/>
    <w:rsid w:val="00AA5879"/>
    <w:rsid w:val="00AA5D2B"/>
    <w:rsid w:val="00AB7227"/>
    <w:rsid w:val="00AD0B26"/>
    <w:rsid w:val="00AD3FF3"/>
    <w:rsid w:val="00AF7A77"/>
    <w:rsid w:val="00B27734"/>
    <w:rsid w:val="00B27BCC"/>
    <w:rsid w:val="00B341D9"/>
    <w:rsid w:val="00B649FF"/>
    <w:rsid w:val="00B7063E"/>
    <w:rsid w:val="00B7456C"/>
    <w:rsid w:val="00B93FDE"/>
    <w:rsid w:val="00B97A2B"/>
    <w:rsid w:val="00BA5C05"/>
    <w:rsid w:val="00BB632D"/>
    <w:rsid w:val="00BC3047"/>
    <w:rsid w:val="00BD0319"/>
    <w:rsid w:val="00BD169C"/>
    <w:rsid w:val="00BD7347"/>
    <w:rsid w:val="00C000A0"/>
    <w:rsid w:val="00C11E56"/>
    <w:rsid w:val="00C1642F"/>
    <w:rsid w:val="00C172B7"/>
    <w:rsid w:val="00C20B4A"/>
    <w:rsid w:val="00C32101"/>
    <w:rsid w:val="00C42FDE"/>
    <w:rsid w:val="00C438C2"/>
    <w:rsid w:val="00C44E43"/>
    <w:rsid w:val="00C65C24"/>
    <w:rsid w:val="00C94F53"/>
    <w:rsid w:val="00CB244E"/>
    <w:rsid w:val="00CE1D37"/>
    <w:rsid w:val="00CE24A4"/>
    <w:rsid w:val="00CF0353"/>
    <w:rsid w:val="00CF591D"/>
    <w:rsid w:val="00D12A78"/>
    <w:rsid w:val="00D22113"/>
    <w:rsid w:val="00D230AE"/>
    <w:rsid w:val="00D26E7B"/>
    <w:rsid w:val="00D33477"/>
    <w:rsid w:val="00D4003C"/>
    <w:rsid w:val="00D55667"/>
    <w:rsid w:val="00D6404E"/>
    <w:rsid w:val="00D726DF"/>
    <w:rsid w:val="00D73D96"/>
    <w:rsid w:val="00D74F75"/>
    <w:rsid w:val="00D96DA1"/>
    <w:rsid w:val="00DB0708"/>
    <w:rsid w:val="00DD56BE"/>
    <w:rsid w:val="00DF0487"/>
    <w:rsid w:val="00E0787F"/>
    <w:rsid w:val="00E100DF"/>
    <w:rsid w:val="00E23DB5"/>
    <w:rsid w:val="00E4034F"/>
    <w:rsid w:val="00E858CC"/>
    <w:rsid w:val="00EA37E7"/>
    <w:rsid w:val="00EB34D4"/>
    <w:rsid w:val="00EB50CE"/>
    <w:rsid w:val="00EC6355"/>
    <w:rsid w:val="00F0277D"/>
    <w:rsid w:val="00F07152"/>
    <w:rsid w:val="00F10E2A"/>
    <w:rsid w:val="00F36AA3"/>
    <w:rsid w:val="00F50B6F"/>
    <w:rsid w:val="00F548B7"/>
    <w:rsid w:val="00F56237"/>
    <w:rsid w:val="00F61151"/>
    <w:rsid w:val="00F879F6"/>
    <w:rsid w:val="00F92EF1"/>
    <w:rsid w:val="00F95989"/>
    <w:rsid w:val="00FD5012"/>
    <w:rsid w:val="00FD73F1"/>
    <w:rsid w:val="00FD7B52"/>
    <w:rsid w:val="00FE5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0332"/>
  <w15:chartTrackingRefBased/>
  <w15:docId w15:val="{DE37996E-B870-4DD0-8210-C7B1F90B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355"/>
    <w:pPr>
      <w:spacing w:line="240" w:lineRule="auto"/>
      <w:jc w:val="both"/>
    </w:pPr>
  </w:style>
  <w:style w:type="paragraph" w:styleId="Heading1">
    <w:name w:val="heading 1"/>
    <w:basedOn w:val="Normal"/>
    <w:next w:val="Normal"/>
    <w:link w:val="Heading1Char"/>
    <w:uiPriority w:val="9"/>
    <w:qFormat/>
    <w:rsid w:val="004C5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0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54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54F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5012"/>
    <w:rPr>
      <w:color w:val="0563C1" w:themeColor="hyperlink"/>
      <w:u w:val="single"/>
    </w:rPr>
  </w:style>
  <w:style w:type="character" w:styleId="UnresolvedMention">
    <w:name w:val="Unresolved Mention"/>
    <w:basedOn w:val="DefaultParagraphFont"/>
    <w:uiPriority w:val="99"/>
    <w:semiHidden/>
    <w:unhideWhenUsed/>
    <w:rsid w:val="00FD5012"/>
    <w:rPr>
      <w:color w:val="605E5C"/>
      <w:shd w:val="clear" w:color="auto" w:fill="E1DFDD"/>
    </w:rPr>
  </w:style>
  <w:style w:type="paragraph" w:styleId="ListParagraph">
    <w:name w:val="List Paragraph"/>
    <w:basedOn w:val="Normal"/>
    <w:uiPriority w:val="34"/>
    <w:qFormat/>
    <w:rsid w:val="007D2A87"/>
    <w:pPr>
      <w:ind w:left="720"/>
      <w:contextualSpacing/>
    </w:pPr>
  </w:style>
  <w:style w:type="paragraph" w:styleId="NoSpacing">
    <w:name w:val="No Spacing"/>
    <w:link w:val="NoSpacingChar"/>
    <w:uiPriority w:val="1"/>
    <w:qFormat/>
    <w:rsid w:val="007E07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070B"/>
    <w:rPr>
      <w:rFonts w:eastAsiaTheme="minorEastAsia"/>
      <w:lang w:val="en-US"/>
    </w:rPr>
  </w:style>
  <w:style w:type="table" w:styleId="TableGrid">
    <w:name w:val="Table Grid"/>
    <w:basedOn w:val="TableNormal"/>
    <w:uiPriority w:val="39"/>
    <w:rsid w:val="009B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244E"/>
    <w:pPr>
      <w:spacing w:line="259" w:lineRule="auto"/>
      <w:jc w:val="left"/>
      <w:outlineLvl w:val="9"/>
    </w:pPr>
    <w:rPr>
      <w:lang w:val="en-US"/>
    </w:rPr>
  </w:style>
  <w:style w:type="paragraph" w:styleId="TOC1">
    <w:name w:val="toc 1"/>
    <w:basedOn w:val="Normal"/>
    <w:next w:val="Normal"/>
    <w:autoRedefine/>
    <w:uiPriority w:val="39"/>
    <w:unhideWhenUsed/>
    <w:rsid w:val="00CB244E"/>
    <w:pPr>
      <w:spacing w:after="100"/>
    </w:pPr>
  </w:style>
  <w:style w:type="paragraph" w:styleId="TOC2">
    <w:name w:val="toc 2"/>
    <w:basedOn w:val="Normal"/>
    <w:next w:val="Normal"/>
    <w:autoRedefine/>
    <w:uiPriority w:val="39"/>
    <w:unhideWhenUsed/>
    <w:rsid w:val="00CB24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84043">
      <w:bodyDiv w:val="1"/>
      <w:marLeft w:val="0"/>
      <w:marRight w:val="0"/>
      <w:marTop w:val="0"/>
      <w:marBottom w:val="0"/>
      <w:divBdr>
        <w:top w:val="none" w:sz="0" w:space="0" w:color="auto"/>
        <w:left w:val="none" w:sz="0" w:space="0" w:color="auto"/>
        <w:bottom w:val="none" w:sz="0" w:space="0" w:color="auto"/>
        <w:right w:val="none" w:sz="0" w:space="0" w:color="auto"/>
      </w:divBdr>
    </w:div>
    <w:div w:id="18941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AE6DC-F9DA-469E-A594-C9B9AD77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Ekaterina Flin</cp:lastModifiedBy>
  <cp:revision>280</cp:revision>
  <cp:lastPrinted>2023-10-12T12:17:00Z</cp:lastPrinted>
  <dcterms:created xsi:type="dcterms:W3CDTF">2023-10-10T12:54:00Z</dcterms:created>
  <dcterms:modified xsi:type="dcterms:W3CDTF">2024-10-22T13:11:00Z</dcterms:modified>
</cp:coreProperties>
</file>