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 Review</w:t>
      </w:r>
    </w:p>
    <w:bookmarkStart w:id="32" w:name="literature-review"/>
    <w:p>
      <w:pPr>
        <w:pStyle w:val="Heading1"/>
      </w:pPr>
      <w:r>
        <w:t xml:space="preserve">Literature Review</w:t>
      </w:r>
    </w:p>
    <w:p>
      <w:pPr>
        <w:pStyle w:val="FirstParagraph"/>
      </w:pPr>
      <w:r>
        <w:rPr>
          <w:i/>
          <w:iCs/>
        </w:rPr>
        <w:t xml:space="preserve">Annotated bibliography — the sourcing backbone for every claim on this site.</w:t>
      </w:r>
    </w:p>
    <w:p>
      <w:pPr>
        <w:pStyle w:val="BodyText"/>
      </w:pPr>
      <w:r>
        <w:rPr>
          <w:b/>
          <w:bCs/>
        </w:rPr>
        <w:t xml:space="preserve">Working draft, subject to revision.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Sources are grouped by the role they play in the argument. Each entry carries a one-line note on how the study uses it. Links were resolving as of the updated date above.</w:t>
      </w:r>
    </w:p>
    <w:bookmarkStart w:id="13" w:name="foundational-theory"/>
    <w:p>
      <w:pPr>
        <w:pStyle w:val="Heading2"/>
      </w:pPr>
      <w:r>
        <w:t xml:space="preserve">Foundational theory</w:t>
      </w:r>
    </w:p>
    <w:p>
      <w:pPr>
        <w:pStyle w:val="FirstParagraph"/>
      </w:pPr>
      <w:r>
        <w:t xml:space="preserve">Charland, Maurice. “Constitutive Rhetoric: The Case of the Peuple Québécois.”</w:t>
      </w:r>
      <w:r>
        <w:t xml:space="preserve"> </w:t>
      </w:r>
      <w:r>
        <w:rPr>
          <w:i/>
          <w:iCs/>
        </w:rPr>
        <w:t xml:space="preserve">Quarterly Journal of Speech</w:t>
      </w:r>
      <w:r>
        <w:t xml:space="preserve"> </w:t>
      </w:r>
      <w:r>
        <w:t xml:space="preserve">73, no. 2 (1987): 133–150.</w:t>
      </w:r>
      <w:r>
        <w:t xml:space="preserve"> </w:t>
      </w:r>
      <w:hyperlink r:id="rId9">
        <w:r>
          <w:rPr>
            <w:rStyle w:val="Hyperlink"/>
          </w:rPr>
          <w:t xml:space="preserve">doi.org/10.1080/00335638709383799</w:t>
        </w:r>
      </w:hyperlink>
      <w:r>
        <w:t xml:space="preserve"> </w:t>
      </w:r>
      <w:r>
        <w:t xml:space="preserve">The master apparatus for the whole project: rhetoric calls a “people” into being and embeds a telos in the act of constituting it.</w:t>
      </w:r>
    </w:p>
    <w:p>
      <w:pPr>
        <w:pStyle w:val="BodyText"/>
      </w:pPr>
      <w:r>
        <w:t xml:space="preserve">Burke, Kenneth.</w:t>
      </w:r>
      <w:r>
        <w:t xml:space="preserve"> </w:t>
      </w:r>
      <w:r>
        <w:rPr>
          <w:i/>
          <w:iCs/>
        </w:rPr>
        <w:t xml:space="preserve">A Rhetoric of Motives</w:t>
      </w:r>
      <w:r>
        <w:t xml:space="preserve">. Berkeley: University of California Press, 1950.</w:t>
      </w:r>
      <w:r>
        <w:t xml:space="preserve"> </w:t>
      </w:r>
      <w:hyperlink r:id="rId10">
        <w:r>
          <w:rPr>
            <w:rStyle w:val="Hyperlink"/>
          </w:rPr>
          <w:t xml:space="preserve">en.wikipedia.org/wiki/A_Rhetoric_of_Motives</w:t>
        </w:r>
      </w:hyperlink>
      <w:r>
        <w:t xml:space="preserve"> </w:t>
      </w:r>
      <w:r>
        <w:t xml:space="preserve">Supplies identification (consubstantiality), the first of the two engines Charland fuses into constitutive rhetoric.</w:t>
      </w:r>
    </w:p>
    <w:p>
      <w:pPr>
        <w:pStyle w:val="BodyText"/>
      </w:pPr>
      <w:r>
        <w:t xml:space="preserve">Althusser, Louis. “Ideology and Ideological State Apparatuses.” In</w:t>
      </w:r>
      <w:r>
        <w:t xml:space="preserve"> </w:t>
      </w:r>
      <w:r>
        <w:rPr>
          <w:i/>
          <w:iCs/>
        </w:rPr>
        <w:t xml:space="preserve">Lenin and Philosophy and Other Essays</w:t>
      </w:r>
      <w:r>
        <w:t xml:space="preserve">, 1970.</w:t>
      </w:r>
      <w:r>
        <w:t xml:space="preserve"> </w:t>
      </w:r>
      <w:hyperlink r:id="rId11">
        <w:r>
          <w:rPr>
            <w:rStyle w:val="Hyperlink"/>
          </w:rPr>
          <w:t xml:space="preserve">en.wikipedia.org/wiki/Ideology_and_Ideological_State_Apparatuses</w:t>
        </w:r>
      </w:hyperlink>
      <w:r>
        <w:t xml:space="preserve"> </w:t>
      </w:r>
      <w:r>
        <w:t xml:space="preserve">Supplies interpellation, the “hailing” by which a discourse seats a subject in a position before that subject can refuse it.</w:t>
      </w:r>
    </w:p>
    <w:p>
      <w:pPr>
        <w:pStyle w:val="BodyText"/>
      </w:pPr>
      <w:r>
        <w:t xml:space="preserve">McGee, Michael Calvin. “In Search of ‘the People’: A Rhetorical Alternative.”</w:t>
      </w:r>
      <w:r>
        <w:t xml:space="preserve"> </w:t>
      </w:r>
      <w:r>
        <w:rPr>
          <w:i/>
          <w:iCs/>
        </w:rPr>
        <w:t xml:space="preserve">Quarterly Journal of Speech</w:t>
      </w:r>
      <w:r>
        <w:t xml:space="preserve"> </w:t>
      </w:r>
      <w:r>
        <w:t xml:space="preserve">61, no. 3 (1975): 235–249.</w:t>
      </w:r>
      <w:r>
        <w:t xml:space="preserve"> </w:t>
      </w:r>
      <w:hyperlink r:id="rId12">
        <w:r>
          <w:rPr>
            <w:rStyle w:val="Hyperlink"/>
          </w:rPr>
          <w:t xml:space="preserve">doi.org/10.1080/00335637509383289</w:t>
        </w:r>
      </w:hyperlink>
      <w:r>
        <w:t xml:space="preserve"> </w:t>
      </w:r>
      <w:r>
        <w:t xml:space="preserve">Establishes “the people” as a rhetorical achievement rather than a pre-existing fact, the premise the three cases stress-test.</w:t>
      </w:r>
    </w:p>
    <w:bookmarkEnd w:id="13"/>
    <w:bookmarkStart w:id="18" w:name="the-québec-case"/>
    <w:p>
      <w:pPr>
        <w:pStyle w:val="Heading2"/>
      </w:pPr>
      <w:r>
        <w:t xml:space="preserve">The Québec case</w:t>
      </w:r>
    </w:p>
    <w:p>
      <w:pPr>
        <w:pStyle w:val="FirstParagraph"/>
      </w:pPr>
      <w:r>
        <w:t xml:space="preserve">“1980 Quebec referendum.” Wikipedia.</w:t>
      </w:r>
      <w:r>
        <w:t xml:space="preserve"> </w:t>
      </w:r>
      <w:hyperlink r:id="rId14">
        <w:r>
          <w:rPr>
            <w:rStyle w:val="Hyperlink"/>
          </w:rPr>
          <w:t xml:space="preserve">en.wikipedia.org/wiki/1980_Quebec_referendum</w:t>
        </w:r>
      </w:hyperlink>
      <w:r>
        <w:t xml:space="preserve"> </w:t>
      </w:r>
      <w:r>
        <w:t xml:space="preserve">The first sovereignty-association vote and the immediate context for Charland’s 1987 analysis; defeated 59.6% to 40.4%.</w:t>
      </w:r>
    </w:p>
    <w:p>
      <w:pPr>
        <w:pStyle w:val="BodyText"/>
      </w:pPr>
      <w:r>
        <w:t xml:space="preserve">“1995 Referendum on Québec’s Accession to Sovereignty.” Élections Québec.</w:t>
      </w:r>
      <w:r>
        <w:t xml:space="preserve"> </w:t>
      </w:r>
      <w:hyperlink r:id="rId15">
        <w:r>
          <w:rPr>
            <w:rStyle w:val="Hyperlink"/>
          </w:rPr>
          <w:t xml:space="preserve">electionsquebec.qc.ca</w:t>
        </w:r>
      </w:hyperlink>
      <w:r>
        <w:t xml:space="preserve"> </w:t>
      </w:r>
      <w:r>
        <w:t xml:space="preserve">Official results for the near-miss of October 30, 1995 (No 50.58%, Yes 49.42%): the case where a thick ethnos came one point from a forward telos.</w:t>
      </w:r>
    </w:p>
    <w:p>
      <w:pPr>
        <w:pStyle w:val="BodyText"/>
      </w:pPr>
      <w:r>
        <w:t xml:space="preserve">Grand Council of the Crees.</w:t>
      </w:r>
      <w:r>
        <w:t xml:space="preserve"> </w:t>
      </w:r>
      <w:r>
        <w:rPr>
          <w:i/>
          <w:iCs/>
        </w:rPr>
        <w:t xml:space="preserve">Sovereign Injustice</w:t>
      </w:r>
      <w:r>
        <w:t xml:space="preserve"> </w:t>
      </w:r>
      <w:r>
        <w:t xml:space="preserve">(1995); see also “Grand Council of the Crees.” Wikipedia.</w:t>
      </w:r>
      <w:r>
        <w:t xml:space="preserve"> </w:t>
      </w:r>
      <w:hyperlink r:id="rId16">
        <w:r>
          <w:rPr>
            <w:rStyle w:val="Hyperlink"/>
          </w:rPr>
          <w:t xml:space="preserve">en.wikipedia.org/wiki/Grand_Council_of_the_Crees</w:t>
        </w:r>
      </w:hyperlink>
      <w:r>
        <w:t xml:space="preserve"> </w:t>
      </w:r>
      <w:r>
        <w:t xml:space="preserve">Records the Cree counter-referendum of October 24, 1995 (96.3% to remain in Canada): a prior people refusing constitution into someone else’s “people.”</w:t>
      </w:r>
    </w:p>
    <w:p>
      <w:pPr>
        <w:pStyle w:val="BodyText"/>
      </w:pPr>
      <w:r>
        <w:t xml:space="preserve">Supreme Court of Canada.</w:t>
      </w:r>
      <w:r>
        <w:t xml:space="preserve"> </w:t>
      </w:r>
      <w:r>
        <w:rPr>
          <w:i/>
          <w:iCs/>
        </w:rPr>
        <w:t xml:space="preserve">Reference re Secession of Quebec</w:t>
      </w:r>
      <w:r>
        <w:t xml:space="preserve">, [1998] 2 SCR 217.</w:t>
      </w:r>
      <w:r>
        <w:t xml:space="preserve"> </w:t>
      </w:r>
      <w:hyperlink r:id="rId17">
        <w:r>
          <w:rPr>
            <w:rStyle w:val="Hyperlink"/>
          </w:rPr>
          <w:t xml:space="preserve">decisions.scc-csc.ca/.../item/1643</w:t>
        </w:r>
      </w:hyperlink>
      <w:r>
        <w:t xml:space="preserve"> </w:t>
      </w:r>
      <w:r>
        <w:t xml:space="preserve">Holds that unilateral secession is unconstitutional but that a clear majority on a clear question obliges negotiation: the juridical frame both later cases run into.</w:t>
      </w:r>
    </w:p>
    <w:bookmarkEnd w:id="18"/>
    <w:bookmarkStart w:id="27" w:name="the-alberta-2026-case"/>
    <w:p>
      <w:pPr>
        <w:pStyle w:val="Heading2"/>
      </w:pPr>
      <w:r>
        <w:t xml:space="preserve">The Alberta 2026 case</w:t>
      </w:r>
    </w:p>
    <w:p>
      <w:pPr>
        <w:pStyle w:val="FirstParagraph"/>
      </w:pPr>
      <w:r>
        <w:t xml:space="preserve">“2026 Alberta referendum.” Wikipedia.</w:t>
      </w:r>
      <w:r>
        <w:t xml:space="preserve"> </w:t>
      </w:r>
      <w:hyperlink r:id="rId19">
        <w:r>
          <w:rPr>
            <w:rStyle w:val="Hyperlink"/>
          </w:rPr>
          <w:t xml:space="preserve">en.wikipedia.org/wiki/2026_Alberta_referendum</w:t>
        </w:r>
      </w:hyperlink>
      <w:r>
        <w:t xml:space="preserve"> </w:t>
      </w:r>
      <w:r>
        <w:t xml:space="preserve">Overview of the October 19, 2026 multi-question referendum and the separation question’s path onto the ballot.</w:t>
      </w:r>
    </w:p>
    <w:p>
      <w:pPr>
        <w:pStyle w:val="BodyText"/>
      </w:pPr>
      <w:r>
        <w:t xml:space="preserve">Trynacity, Kim. “Alberta premier, cabinet formalize wording of Oct. 19 separation question.” CBC News, 2026.</w:t>
      </w:r>
      <w:r>
        <w:t xml:space="preserve"> </w:t>
      </w:r>
      <w:hyperlink r:id="rId20">
        <w:r>
          <w:rPr>
            <w:rStyle w:val="Hyperlink"/>
          </w:rPr>
          <w:t xml:space="preserve">cbc.ca/news/canada/edmonton/...9.7215485</w:t>
        </w:r>
      </w:hyperlink>
      <w:r>
        <w:t xml:space="preserve"> </w:t>
      </w:r>
      <w:r>
        <w:t xml:space="preserve">Primary source for the exact ballot wording: a two-option, non-binding question about commencing a legal process, not a direct vote to separate.</w:t>
      </w:r>
    </w:p>
    <w:p>
      <w:pPr>
        <w:pStyle w:val="BodyText"/>
      </w:pPr>
      <w:r>
        <w:t xml:space="preserve">Smith, Danielle. “Premier’s Address to the Province.” Alberta.ca, 2025.</w:t>
      </w:r>
      <w:r>
        <w:t xml:space="preserve"> </w:t>
      </w:r>
      <w:hyperlink r:id="rId21">
        <w:r>
          <w:rPr>
            <w:rStyle w:val="Hyperlink"/>
          </w:rPr>
          <w:t xml:space="preserve">alberta.ca/premiers-address-to-the-province</w:t>
        </w:r>
      </w:hyperlink>
      <w:r>
        <w:t xml:space="preserve"> </w:t>
      </w:r>
      <w:r>
        <w:t xml:space="preserve">The government’s own framing of grievance and identity, read as the constitutive appeal under analysis.</w:t>
      </w:r>
    </w:p>
    <w:p>
      <w:pPr>
        <w:pStyle w:val="BodyText"/>
      </w:pPr>
      <w:r>
        <w:t xml:space="preserve">“Alberta Sovereignty within a United Canada Act,” SA 2022.</w:t>
      </w:r>
      <w:r>
        <w:t xml:space="preserve"> </w:t>
      </w:r>
      <w:hyperlink r:id="rId22">
        <w:r>
          <w:rPr>
            <w:rStyle w:val="Hyperlink"/>
          </w:rPr>
          <w:t xml:space="preserve">en.wikipedia.org/wiki/Alberta_Sovereignty_within_a_United_Canada_Act</w:t>
        </w:r>
      </w:hyperlink>
      <w:r>
        <w:t xml:space="preserve"> </w:t>
      </w:r>
      <w:r>
        <w:t xml:space="preserve">The title itself is the evidence for the detachable telos: a sovereignty claim held expressly “within a united Canada.”</w:t>
      </w:r>
    </w:p>
    <w:p>
      <w:pPr>
        <w:pStyle w:val="BodyText"/>
      </w:pPr>
      <w:r>
        <w:t xml:space="preserve">Wakefield, Jonny. “Judge overturns Elections Alberta’s approval of separation referendum petition.” CBC News, May 13, 2026.</w:t>
      </w:r>
      <w:r>
        <w:t xml:space="preserve"> </w:t>
      </w:r>
      <w:hyperlink r:id="rId23">
        <w:r>
          <w:rPr>
            <w:rStyle w:val="Hyperlink"/>
          </w:rPr>
          <w:t xml:space="preserve">cbc.ca/news/canada/edmonton/...9.7198553</w:t>
        </w:r>
      </w:hyperlink>
      <w:r>
        <w:t xml:space="preserve"> </w:t>
      </w:r>
      <w:r>
        <w:t xml:space="preserve">Reports the King’s Bench ruling (Justice Shaina Leonard) quashing the petition for failure of the Crown’s duty to consult.</w:t>
      </w:r>
    </w:p>
    <w:p>
      <w:pPr>
        <w:pStyle w:val="BodyText"/>
      </w:pPr>
      <w:r>
        <w:t xml:space="preserve">JFK Law. “Treaty Rights and Alberta Separatism: The Crown’s Duty to Consult in</w:t>
      </w:r>
      <w:r>
        <w:t xml:space="preserve"> </w:t>
      </w:r>
      <w:r>
        <w:rPr>
          <w:i/>
          <w:iCs/>
        </w:rPr>
        <w:t xml:space="preserve">Athabasca Chipewyan First Nation v Alberta (Chief Electoral Officer)</w:t>
      </w:r>
      <w:r>
        <w:t xml:space="preserve">.” 2026.</w:t>
      </w:r>
      <w:r>
        <w:t xml:space="preserve"> </w:t>
      </w:r>
      <w:hyperlink r:id="rId24">
        <w:r>
          <w:rPr>
            <w:rStyle w:val="Hyperlink"/>
          </w:rPr>
          <w:t xml:space="preserve">jfklaw.ca/treaty-rights-and-alberta-separatism…</w:t>
        </w:r>
      </w:hyperlink>
      <w:r>
        <w:t xml:space="preserve"> </w:t>
      </w:r>
      <w:r>
        <w:t xml:space="preserve">Legal analysis of the ruling: separation would adversely affect Treaty 7 and 8 rights, so the electoral step itself triggered the duty to consult.</w:t>
      </w:r>
    </w:p>
    <w:p>
      <w:pPr>
        <w:pStyle w:val="BodyText"/>
      </w:pPr>
      <w:r>
        <w:t xml:space="preserve">“Numbered Treaties.” Wikipedia.</w:t>
      </w:r>
      <w:r>
        <w:t xml:space="preserve"> </w:t>
      </w:r>
      <w:hyperlink r:id="rId25">
        <w:r>
          <w:rPr>
            <w:rStyle w:val="Hyperlink"/>
          </w:rPr>
          <w:t xml:space="preserve">en.wikipedia.org/wiki/Numbered_Treaties</w:t>
        </w:r>
      </w:hyperlink>
      <w:r>
        <w:t xml:space="preserve"> </w:t>
      </w:r>
      <w:r>
        <w:t xml:space="preserve">Establishes that Treaties 6, 7, and 8 (1876–1899) predate Alberta’s creation in 1905: a prior peoplehood with a standing juridical claim.</w:t>
      </w:r>
    </w:p>
    <w:p>
      <w:pPr>
        <w:pStyle w:val="BodyText"/>
      </w:pPr>
      <w:r>
        <w:t xml:space="preserve">Angus Reid Institute. “Alberta Separation: Three-in-five say they’d vote in October to stay, but half say the question is ‘confusing.’” 2026.</w:t>
      </w:r>
      <w:r>
        <w:t xml:space="preserve"> </w:t>
      </w:r>
      <w:hyperlink r:id="rId26">
        <w:r>
          <w:rPr>
            <w:rStyle w:val="Hyperlink"/>
          </w:rPr>
          <w:t xml:space="preserve">angusreid.org/alberta-referendum-question</w:t>
        </w:r>
      </w:hyperlink>
      <w:r>
        <w:t xml:space="preserve"> </w:t>
      </w:r>
      <w:r>
        <w:t xml:space="preserve">Polling showing the identity and the secessionist conclusion come apart: roughly 60% would vote No on the official question (about 35% Yes), and 67% choose to stay on a plain leave/stay framing.</w:t>
      </w:r>
    </w:p>
    <w:bookmarkEnd w:id="27"/>
    <w:bookmarkStart w:id="31" w:name="the-us-true-america-framing"/>
    <w:p>
      <w:pPr>
        <w:pStyle w:val="Heading2"/>
      </w:pPr>
      <w:r>
        <w:t xml:space="preserve">The US “true America” framing</w:t>
      </w:r>
    </w:p>
    <w:p>
      <w:pPr>
        <w:pStyle w:val="FirstParagraph"/>
      </w:pPr>
      <w:r>
        <w:t xml:space="preserve">“No Kings protests.” Wikipedia.</w:t>
      </w:r>
      <w:r>
        <w:t xml:space="preserve"> </w:t>
      </w:r>
      <w:hyperlink r:id="rId28">
        <w:r>
          <w:rPr>
            <w:rStyle w:val="Hyperlink"/>
          </w:rPr>
          <w:t xml:space="preserve">en.wikipedia.org/wiki/No_Kings_protests</w:t>
        </w:r>
      </w:hyperlink>
      <w:r>
        <w:t xml:space="preserve"> </w:t>
      </w:r>
      <w:r>
        <w:t xml:space="preserve">Documents the 2025–2026 mobilizations whose “restore the real America” register supplies the restorationist (backward-vector) case.</w:t>
      </w:r>
    </w:p>
    <w:p>
      <w:pPr>
        <w:pStyle w:val="BodyText"/>
      </w:pPr>
      <w:r>
        <w:t xml:space="preserve">“3.5% rule.” Wikipedia.</w:t>
      </w:r>
      <w:r>
        <w:t xml:space="preserve"> </w:t>
      </w:r>
      <w:hyperlink r:id="rId29">
        <w:r>
          <w:rPr>
            <w:rStyle w:val="Hyperlink"/>
          </w:rPr>
          <w:t xml:space="preserve">en.wikipedia.org/wiki/3.5%_rule</w:t>
        </w:r>
      </w:hyperlink>
      <w:r>
        <w:t xml:space="preserve"> </w:t>
      </w:r>
      <w:r>
        <w:t xml:space="preserve">The threshold claim the movement invokes about itself; used here as a self-constituting number, a “people” asserting its own scale.</w:t>
      </w:r>
    </w:p>
    <w:p>
      <w:pPr>
        <w:pStyle w:val="BodyText"/>
      </w:pPr>
      <w:r>
        <w:t xml:space="preserve">Chenoweth, Erica. “The 3.5% Rule: Understanding What Makes Protest Powerful.” Harvard Kennedy School.</w:t>
      </w:r>
      <w:r>
        <w:t xml:space="preserve"> </w:t>
      </w:r>
      <w:hyperlink r:id="rId30">
        <w:r>
          <w:rPr>
            <w:rStyle w:val="Hyperlink"/>
          </w:rPr>
          <w:t xml:space="preserve">hks.harvard.edu/.../35-rule</w:t>
        </w:r>
      </w:hyperlink>
      <w:r>
        <w:t xml:space="preserve"> </w:t>
      </w:r>
      <w:r>
        <w:t xml:space="preserve">The scholarship behind the figure (Chenoweth and Stephan), distinguishing the empirical finding from its rhetorical redeployment.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ngusreid.org/alberta-referendum-question/" TargetMode="External" /><Relationship Type="http://schemas.openxmlformats.org/officeDocument/2006/relationships/hyperlink" Id="rId17" Target="https://decisions.scc-csc.ca/scc-csc/scc-csc/en/item/1643/index.do" TargetMode="External" /><Relationship Type="http://schemas.openxmlformats.org/officeDocument/2006/relationships/hyperlink" Id="rId12" Target="https://doi.org/10.1080/00335637509383289" TargetMode="External" /><Relationship Type="http://schemas.openxmlformats.org/officeDocument/2006/relationships/hyperlink" Id="rId9" Target="https://doi.org/10.1080/00335638709383799" TargetMode="External" /><Relationship Type="http://schemas.openxmlformats.org/officeDocument/2006/relationships/hyperlink" Id="rId14" Target="https://en.wikipedia.org/wiki/1980_Quebec_referendum" TargetMode="External" /><Relationship Type="http://schemas.openxmlformats.org/officeDocument/2006/relationships/hyperlink" Id="rId19" Target="https://en.wikipedia.org/wiki/2026_Alberta_referendum" TargetMode="External" /><Relationship Type="http://schemas.openxmlformats.org/officeDocument/2006/relationships/hyperlink" Id="rId29" Target="https://en.wikipedia.org/wiki/3.5%25_rule" TargetMode="External" /><Relationship Type="http://schemas.openxmlformats.org/officeDocument/2006/relationships/hyperlink" Id="rId10" Target="https://en.wikipedia.org/wiki/A_Rhetoric_of_Motives" TargetMode="External" /><Relationship Type="http://schemas.openxmlformats.org/officeDocument/2006/relationships/hyperlink" Id="rId22" Target="https://en.wikipedia.org/wiki/Alberta_Sovereignty_within_a_United_Canada_Act" TargetMode="External" /><Relationship Type="http://schemas.openxmlformats.org/officeDocument/2006/relationships/hyperlink" Id="rId16" Target="https://en.wikipedia.org/wiki/Grand_Council_of_the_Crees" TargetMode="External" /><Relationship Type="http://schemas.openxmlformats.org/officeDocument/2006/relationships/hyperlink" Id="rId11" Target="https://en.wikipedia.org/wiki/Ideology_and_Ideological_State_Apparatuses" TargetMode="External" /><Relationship Type="http://schemas.openxmlformats.org/officeDocument/2006/relationships/hyperlink" Id="rId28" Target="https://en.wikipedia.org/wiki/No_Kings_protests" TargetMode="External" /><Relationship Type="http://schemas.openxmlformats.org/officeDocument/2006/relationships/hyperlink" Id="rId25" Target="https://en.wikipedia.org/wiki/Numbered_Treaties" TargetMode="External" /><Relationship Type="http://schemas.openxmlformats.org/officeDocument/2006/relationships/hyperlink" Id="rId24" Target="https://jfklaw.ca/treaty-rights-and-alberta-separatism-the-crowns-duty-to-consult-in-athabasca-chipewyan-first-nation-v-alberta-chief-electoral-officer/" TargetMode="External" /><Relationship Type="http://schemas.openxmlformats.org/officeDocument/2006/relationships/hyperlink" Id="rId21" Target="https://www.alberta.ca/premiers-address-to-the-province" TargetMode="External" /><Relationship Type="http://schemas.openxmlformats.org/officeDocument/2006/relationships/hyperlink" Id="rId20" Target="https://www.cbc.ca/news/canada/edmonton/alberta-referendum-vote-ballot-9.7215485" TargetMode="External" /><Relationship Type="http://schemas.openxmlformats.org/officeDocument/2006/relationships/hyperlink" Id="rId23" Target="https://www.cbc.ca/news/canada/edmonton/judge-quashes-decision-to-approve-separation-petition-9.7198553" TargetMode="External" /><Relationship Type="http://schemas.openxmlformats.org/officeDocument/2006/relationships/hyperlink" Id="rId15" Target="https://www.electionsquebec.qc.ca/en/results-and-statistics/1995-referendum-on-quebecs-accession-to-sovereignty/" TargetMode="External" /><Relationship Type="http://schemas.openxmlformats.org/officeDocument/2006/relationships/hyperlink" Id="rId30" Target="https://www.hks.harvard.edu/faculty-research/policy-topics/advocacy-social-movements/35-rule-understanding-what-makes-prot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ngusreid.org/alberta-referendum-question/" TargetMode="External" /><Relationship Type="http://schemas.openxmlformats.org/officeDocument/2006/relationships/hyperlink" Id="rId17" Target="https://decisions.scc-csc.ca/scc-csc/scc-csc/en/item/1643/index.do" TargetMode="External" /><Relationship Type="http://schemas.openxmlformats.org/officeDocument/2006/relationships/hyperlink" Id="rId12" Target="https://doi.org/10.1080/00335637509383289" TargetMode="External" /><Relationship Type="http://schemas.openxmlformats.org/officeDocument/2006/relationships/hyperlink" Id="rId9" Target="https://doi.org/10.1080/00335638709383799" TargetMode="External" /><Relationship Type="http://schemas.openxmlformats.org/officeDocument/2006/relationships/hyperlink" Id="rId14" Target="https://en.wikipedia.org/wiki/1980_Quebec_referendum" TargetMode="External" /><Relationship Type="http://schemas.openxmlformats.org/officeDocument/2006/relationships/hyperlink" Id="rId19" Target="https://en.wikipedia.org/wiki/2026_Alberta_referendum" TargetMode="External" /><Relationship Type="http://schemas.openxmlformats.org/officeDocument/2006/relationships/hyperlink" Id="rId29" Target="https://en.wikipedia.org/wiki/3.5%25_rule" TargetMode="External" /><Relationship Type="http://schemas.openxmlformats.org/officeDocument/2006/relationships/hyperlink" Id="rId10" Target="https://en.wikipedia.org/wiki/A_Rhetoric_of_Motives" TargetMode="External" /><Relationship Type="http://schemas.openxmlformats.org/officeDocument/2006/relationships/hyperlink" Id="rId22" Target="https://en.wikipedia.org/wiki/Alberta_Sovereignty_within_a_United_Canada_Act" TargetMode="External" /><Relationship Type="http://schemas.openxmlformats.org/officeDocument/2006/relationships/hyperlink" Id="rId16" Target="https://en.wikipedia.org/wiki/Grand_Council_of_the_Crees" TargetMode="External" /><Relationship Type="http://schemas.openxmlformats.org/officeDocument/2006/relationships/hyperlink" Id="rId11" Target="https://en.wikipedia.org/wiki/Ideology_and_Ideological_State_Apparatuses" TargetMode="External" /><Relationship Type="http://schemas.openxmlformats.org/officeDocument/2006/relationships/hyperlink" Id="rId28" Target="https://en.wikipedia.org/wiki/No_Kings_protests" TargetMode="External" /><Relationship Type="http://schemas.openxmlformats.org/officeDocument/2006/relationships/hyperlink" Id="rId25" Target="https://en.wikipedia.org/wiki/Numbered_Treaties" TargetMode="External" /><Relationship Type="http://schemas.openxmlformats.org/officeDocument/2006/relationships/hyperlink" Id="rId24" Target="https://jfklaw.ca/treaty-rights-and-alberta-separatism-the-crowns-duty-to-consult-in-athabasca-chipewyan-first-nation-v-alberta-chief-electoral-officer/" TargetMode="External" /><Relationship Type="http://schemas.openxmlformats.org/officeDocument/2006/relationships/hyperlink" Id="rId21" Target="https://www.alberta.ca/premiers-address-to-the-province" TargetMode="External" /><Relationship Type="http://schemas.openxmlformats.org/officeDocument/2006/relationships/hyperlink" Id="rId20" Target="https://www.cbc.ca/news/canada/edmonton/alberta-referendum-vote-ballot-9.7215485" TargetMode="External" /><Relationship Type="http://schemas.openxmlformats.org/officeDocument/2006/relationships/hyperlink" Id="rId23" Target="https://www.cbc.ca/news/canada/edmonton/judge-quashes-decision-to-approve-separation-petition-9.7198553" TargetMode="External" /><Relationship Type="http://schemas.openxmlformats.org/officeDocument/2006/relationships/hyperlink" Id="rId15" Target="https://www.electionsquebec.qc.ca/en/results-and-statistics/1995-referendum-on-quebecs-accession-to-sovereignty/" TargetMode="External" /><Relationship Type="http://schemas.openxmlformats.org/officeDocument/2006/relationships/hyperlink" Id="rId30" Target="https://www.hks.harvard.edu/faculty-research/policy-topics/advocacy-social-movements/35-rule-understanding-what-makes-prot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</dc:title>
  <dc:creator/>
  <cp:keywords/>
  <dcterms:created xsi:type="dcterms:W3CDTF">2026-06-18T18:08:01Z</dcterms:created>
  <dcterms:modified xsi:type="dcterms:W3CDTF">2026-06-18T18:08:01Z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