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Podcast Outline</w:t>
      </w:r>
    </w:p>
    <w:bookmarkStart w:id="16" w:name="podcast-outline"/>
    <w:p>
      <w:pPr>
        <w:pStyle w:val="Heading1"/>
      </w:pPr>
      <w:r>
        <w:t xml:space="preserve">Podcast Outline</w:t>
      </w:r>
    </w:p>
    <w:p>
      <w:pPr>
        <w:pStyle w:val="FirstParagraph"/>
      </w:pPr>
      <w:r>
        <w:rPr>
          <w:i/>
          <w:iCs/>
        </w:rPr>
        <w:t xml:space="preserve">An episode-length conversational version of the argument.</w:t>
      </w:r>
    </w:p>
    <w:p>
      <w:pPr>
        <w:pStyle w:val="BodyText"/>
      </w:pPr>
      <w:r>
        <w:rPr>
          <w:b/>
          <w:bCs/>
        </w:rPr>
        <w:t xml:space="preserve">Working draft, subject to revision.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length about 45 minutes. One host, one guest. The goal is for a listener who has never heard the word “interpellation” to leave able to spot the move in the wild.</w:t>
      </w:r>
    </w:p>
    <w:bookmarkStart w:id="9" w:name="cold-open-2-min"/>
    <w:p>
      <w:pPr>
        <w:pStyle w:val="Heading2"/>
      </w:pPr>
      <w:r>
        <w:t xml:space="preserve">Cold open (2 min)</w:t>
      </w:r>
    </w:p>
    <w:p>
      <w:pPr>
        <w:pStyle w:val="Compact"/>
        <w:numPr>
          <w:ilvl w:val="0"/>
          <w:numId w:val="1001"/>
        </w:numPr>
      </w:pPr>
      <w:r>
        <w:t xml:space="preserve">Hook: “In October, Albertans vote on leaving Canada. Except the question on the ballot doesn’t actually ask that. Today, why the wording matters, and what a 1987 essay about Québec predicted about it.”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Quotable:</w:t>
      </w:r>
      <w:r>
        <w:t xml:space="preserve"> </w:t>
      </w:r>
      <w:r>
        <w:t xml:space="preserve">“A movement doesn’t talk to a people. It talks a people into existing.”</w:t>
      </w:r>
    </w:p>
    <w:bookmarkEnd w:id="9"/>
    <w:bookmarkStart w:id="10" w:name="segment-1-the-machine-8-min"/>
    <w:p>
      <w:pPr>
        <w:pStyle w:val="Heading2"/>
      </w:pPr>
      <w:r>
        <w:t xml:space="preserve">Segment 1 — The machine (8 min)</w:t>
      </w:r>
    </w:p>
    <w:p>
      <w:pPr>
        <w:pStyle w:val="Compact"/>
        <w:numPr>
          <w:ilvl w:val="0"/>
          <w:numId w:val="1002"/>
        </w:numPr>
      </w:pPr>
      <w:r>
        <w:t xml:space="preserve">Define the idea in plain terms: identification (you’re made to feel you share substance), interpellation (you’re “hailed,” and you turn around before you decide to), and “the people” as something made, not found.</w:t>
      </w:r>
    </w:p>
    <w:p>
      <w:pPr>
        <w:pStyle w:val="Compact"/>
        <w:numPr>
          <w:ilvl w:val="0"/>
          <w:numId w:val="1002"/>
        </w:numPr>
      </w:pPr>
      <w:r>
        <w:t xml:space="preserve">Talking point: every constituted people gets handed three things, a long backstory, a sense of acting as one, and a destination presented as their own.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Quotable:</w:t>
      </w:r>
      <w:r>
        <w:t xml:space="preserve"> </w:t>
      </w:r>
      <w:r>
        <w:t xml:space="preserve">“By the time you’ve agreed who you are, you’ve half-agreed what you want.”</w:t>
      </w:r>
    </w:p>
    <w:bookmarkEnd w:id="10"/>
    <w:bookmarkStart w:id="11" w:name="segment-2-québec-where-it-works-7-min"/>
    <w:p>
      <w:pPr>
        <w:pStyle w:val="Heading2"/>
      </w:pPr>
      <w:r>
        <w:t xml:space="preserve">Segment 2 — Québec, where it works (7 min)</w:t>
      </w:r>
    </w:p>
    <w:p>
      <w:pPr>
        <w:pStyle w:val="Compact"/>
        <w:numPr>
          <w:ilvl w:val="0"/>
          <w:numId w:val="1003"/>
        </w:numPr>
      </w:pPr>
      <w:r>
        <w:t xml:space="preserve">The canonical case: a thick national identity, a forward goal of sovereignty, a 1995 vote lost by a single point.</w:t>
      </w:r>
    </w:p>
    <w:p>
      <w:pPr>
        <w:pStyle w:val="Compact"/>
        <w:numPr>
          <w:ilvl w:val="0"/>
          <w:numId w:val="1003"/>
        </w:numPr>
      </w:pPr>
      <w:r>
        <w:t xml:space="preserve">Talking point: when the identity is deep, the destination feels like it just follows. That fusion is the thing to remember, because the next case breaks it.</w:t>
      </w:r>
    </w:p>
    <w:bookmarkEnd w:id="11"/>
    <w:bookmarkStart w:id="12" w:name="X61e47b64115960a1ed9e344f37606c3566f1a13"/>
    <w:p>
      <w:pPr>
        <w:pStyle w:val="Heading2"/>
      </w:pPr>
      <w:r>
        <w:t xml:space="preserve">Segment 3 — Alberta, where it strains (10 min)</w:t>
      </w:r>
    </w:p>
    <w:p>
      <w:pPr>
        <w:pStyle w:val="Compact"/>
        <w:numPr>
          <w:ilvl w:val="0"/>
          <w:numId w:val="1004"/>
        </w:numPr>
      </w:pPr>
      <w:r>
        <w:t xml:space="preserve">Young province, no ancient nation, so the “people” is built from grievance. That can hold an identity but struggles to point anywhere fixed.</w:t>
      </w:r>
    </w:p>
    <w:p>
      <w:pPr>
        <w:pStyle w:val="Compact"/>
        <w:numPr>
          <w:ilvl w:val="0"/>
          <w:numId w:val="1004"/>
        </w:numPr>
      </w:pPr>
      <w:r>
        <w:t xml:space="preserve">The evidence is in the movement’s own words: a law called “Sovereignty</w:t>
      </w:r>
      <w:r>
        <w:t xml:space="preserve"> </w:t>
      </w:r>
      <w:r>
        <w:rPr>
          <w:i/>
          <w:iCs/>
        </w:rPr>
        <w:t xml:space="preserve">within a United Canada</w:t>
      </w:r>
      <w:r>
        <w:t xml:space="preserve">,” a ballot that only asks to start a process, polling where the grievance stays high but support to actually leave sits around a third.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Quotable:</w:t>
      </w:r>
      <w:r>
        <w:t xml:space="preserve"> </w:t>
      </w:r>
      <w:r>
        <w:t xml:space="preserve">“Albertans kept the ‘we.’ They’re just not sold on the exit.”</w:t>
      </w:r>
    </w:p>
    <w:bookmarkEnd w:id="12"/>
    <w:bookmarkStart w:id="13" w:name="the-turn-where-the-theory-breaks-10-min"/>
    <w:p>
      <w:pPr>
        <w:pStyle w:val="Heading2"/>
      </w:pPr>
      <w:r>
        <w:t xml:space="preserve">The turn — where the theory breaks (10 min)</w:t>
      </w:r>
    </w:p>
    <w:p>
      <w:pPr>
        <w:pStyle w:val="Compact"/>
        <w:numPr>
          <w:ilvl w:val="0"/>
          <w:numId w:val="1005"/>
        </w:numPr>
      </w:pPr>
      <w:r>
        <w:t xml:space="preserve">Two breakpoints. First, the detachable destination: thin substrate, loose telos. Second, the prior people.</w:t>
      </w:r>
    </w:p>
    <w:p>
      <w:pPr>
        <w:pStyle w:val="Compact"/>
        <w:numPr>
          <w:ilvl w:val="0"/>
          <w:numId w:val="1005"/>
        </w:numPr>
      </w:pPr>
      <w:r>
        <w:t xml:space="preserve">Treaties 6, 7, and 8 came before Alberta existed. In May 2026 a court quashed the petition because the government skipped its duty to consult First Nations. Québec saw the same thing in 1995, when the Cree voted 96 percent to stay.</w:t>
      </w:r>
    </w:p>
    <w:p>
      <w:pPr>
        <w:pStyle w:val="Compact"/>
        <w:numPr>
          <w:ilvl w:val="0"/>
          <w:numId w:val="1005"/>
        </w:numPr>
      </w:pPr>
      <w:r>
        <w:t xml:space="preserve">Talking point: this is the limit. You can summon a new people with words. You can’t un-summon an older one that has treaties and a courtroom.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Quotable:</w:t>
      </w:r>
      <w:r>
        <w:t xml:space="preserve"> </w:t>
      </w:r>
      <w:r>
        <w:t xml:space="preserve">“Rhetoric can build a people. It can’t clear the land first.”</w:t>
      </w:r>
    </w:p>
    <w:bookmarkEnd w:id="13"/>
    <w:bookmarkStart w:id="14" w:name="segment-4-same-machine-reversed-5-min"/>
    <w:p>
      <w:pPr>
        <w:pStyle w:val="Heading2"/>
      </w:pPr>
      <w:r>
        <w:t xml:space="preserve">Segment 4 — Same machine, reversed (5 min)</w:t>
      </w:r>
    </w:p>
    <w:p>
      <w:pPr>
        <w:pStyle w:val="Compact"/>
        <w:numPr>
          <w:ilvl w:val="0"/>
          <w:numId w:val="1006"/>
        </w:numPr>
      </w:pPr>
      <w:r>
        <w:t xml:space="preserve">The US “true America” turn: identical move, opposite direction. Not a country to found, a country to restore, a people told it already exists and was robbed.</w:t>
      </w:r>
    </w:p>
    <w:p>
      <w:pPr>
        <w:pStyle w:val="Compact"/>
        <w:numPr>
          <w:ilvl w:val="0"/>
          <w:numId w:val="1006"/>
        </w:numPr>
      </w:pPr>
      <w:r>
        <w:t xml:space="preserve">Talking point: even the “3.5 percent” number does the work, handing a crowd proof of its own size.</w:t>
      </w:r>
    </w:p>
    <w:bookmarkEnd w:id="14"/>
    <w:bookmarkStart w:id="15" w:name="close-2-min"/>
    <w:p>
      <w:pPr>
        <w:pStyle w:val="Heading2"/>
      </w:pPr>
      <w:r>
        <w:t xml:space="preserve">Close (2 min)</w:t>
      </w:r>
    </w:p>
    <w:p>
      <w:pPr>
        <w:pStyle w:val="Compact"/>
        <w:numPr>
          <w:ilvl w:val="0"/>
          <w:numId w:val="1007"/>
        </w:numPr>
      </w:pPr>
      <w:r>
        <w:t xml:space="preserve">Bring it back to the listener: next time a movement tells you who you really are, notice the sentence right after it.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Quotable:</w:t>
      </w:r>
      <w:r>
        <w:t xml:space="preserve"> </w:t>
      </w:r>
      <w:r>
        <w:t xml:space="preserve">“The machine is good at making peoples. It’s bad at taking them anywhere, and worse at the ground they’re standing on.”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Outline</dc:title>
  <dc:creator/>
  <cp:keywords/>
  <dcterms:created xsi:type="dcterms:W3CDTF">2026-06-18T18:08:00Z</dcterms:created>
  <dcterms:modified xsi:type="dcterms:W3CDTF">2026-06-18T18:08:00Z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