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Joggle figure report</w:t>
      </w:r>
    </w:p>
    <w:p>
      <w:pPr>
        <w:spacing w:after="140"/>
      </w:pPr>
      <w:r>
        <w:t>Target  EuroSys 2027 fall cycle working manuscript</w:t>
      </w:r>
    </w:p>
    <w:p>
      <w:pPr>
        <w:pStyle w:val="Heading1"/>
        <w:spacing w:before="60" w:after="60"/>
      </w:pPr>
      <w:r>
        <w:t>Figure 1  Structural block policy tradeoff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2466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66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</w:rPr>
        <w:t xml:space="preserve">Claim  </w:t>
      </w:r>
      <w:r>
        <w:t>The same operator-independent composition of split, reorder, and scalar promotion improves every paired call in three model pilots, while substantially increasing generated C source size.</w:t>
      </w:r>
    </w:p>
    <w:p>
      <w:pPr>
        <w:spacing w:after="80"/>
      </w:pPr>
      <w:r>
        <w:rPr>
          <w:b/>
        </w:rPr>
        <w:t xml:space="preserve">Caption  </w:t>
      </w:r>
      <w:r>
        <w:t>Descriptive same-process pilot results for a source-defined function-body block policy. (A) Each point is one adjacent baseline/candidate timed pair; horizontal bars are medians and vertical lines are interquartile ranges. The dashed line denotes equal latency. Observations are repeated technical calls within one unisolated process (n = 40, 20, and 20), not independent experimental units; no inferential test is reported. Candidate and baseline outputs are bit-identical for every pair. (B) Exact generated C source-byte ratios from the corresponding preserved artifact records; the dashed line denotes equal size. These pilots do not compare Joggle with a production runtime.</w:t>
      </w:r>
    </w:p>
    <w:p>
      <w:pPr>
        <w:spacing w:after="80"/>
      </w:pPr>
      <w:r>
        <w:rPr>
          <w:b/>
        </w:rPr>
        <w:t xml:space="preserve">Citation location  </w:t>
      </w:r>
      <w:r>
        <w:t>Section 5, RQ4 paragraph beginning ‘A later same-process diagnostic selects factors four and seven…’.</w:t>
      </w:r>
    </w:p>
    <w:p>
      <w:pPr>
        <w:spacing w:after="80"/>
      </w:pPr>
      <w:r>
        <w:rPr>
          <w:b/>
        </w:rPr>
        <w:t xml:space="preserve">Reproducibility  </w:t>
      </w:r>
      <w:r>
        <w:t>paper/figures/block_tradeoff.py reads the three committed *-block-pilot.csv timing files and paper/data/block-artifact-pilot.csv.</w:t>
      </w:r>
    </w:p>
    <w:p>
      <w:pPr>
        <w:pStyle w:val="Heading1"/>
        <w:spacing w:before="100" w:after="60"/>
      </w:pPr>
      <w:r>
        <w:t>Derived values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Median ratio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IQR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C bytes ratio</w:t>
            </w:r>
          </w:p>
        </w:tc>
      </w:tr>
      <w:tr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t>MobileNetV2-7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t>1.559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t>[1.546, 1.573]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t>1.757</w:t>
            </w:r>
          </w:p>
        </w:tc>
      </w:tr>
      <w:tr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t>SqueezeNet-1.1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t>3.544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t>[3.509, 3.559]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t>2.189</w:t>
            </w:r>
          </w:p>
        </w:tc>
      </w:tr>
      <w:tr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t>UltraFace-RFB-320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t>2.244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t>[2.234, 2.258]</w:t>
            </w:r>
          </w:p>
        </w:tc>
        <w:tc>
          <w:tcPr>
            <w:tcW w:type="dxa" w:w="20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t>1.675</w:t>
            </w: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