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Which two rules require this training?</w:t>
      </w:r>
    </w:p>
    <w:p>
      <w:r>
        <w:t xml:space="preserve">a. The Privacy Rule and the Security Rule</w:t>
      </w:r>
    </w:p>
    <w:p>
      <w:r>
        <w:t xml:space="preserve">b. The Breach Rule and the Enforcement Rule</w:t>
      </w:r>
    </w:p>
    <w:p>
      <w:r>
        <w:t xml:space="preserve">c. OSHA and the Privacy Rule</w:t>
      </w:r>
    </w:p>
    <w:p>
      <w:r>
        <w:t xml:space="preserve">d. State law only</w:t>
      </w:r>
    </w:p>
    <w:p/>
    <w:p>
      <w:r>
        <w:t xml:space="preserve">2. Who counts as "workforce" for HIPAA training purposes?</w:t>
      </w:r>
    </w:p>
    <w:p>
      <w:r>
        <w:t xml:space="preserve">a. Only clinical staff</w:t>
      </w:r>
    </w:p>
    <w:p>
      <w:r>
        <w:t xml:space="preserve">b. Only full-time employees</w:t>
      </w:r>
    </w:p>
    <w:p>
      <w:r>
        <w:t xml:space="preserve">c. Employees, volunteers, trainees, interns, temporary staff, and on-site contractors</w:t>
      </w:r>
    </w:p>
    <w:p>
      <w:r>
        <w:t xml:space="preserve">d. Anyone with a badge, excluding management</w:t>
      </w:r>
    </w:p>
    <w:p/>
    <w:p>
      <w:r>
        <w:t xml:space="preserve">3. Under the Safe Harbor de-identification method, which date information may remain in a record?</w:t>
      </w:r>
    </w:p>
    <w:p>
      <w:r>
        <w:t xml:space="preserve">a. Admission and discharge dates</w:t>
      </w:r>
    </w:p>
    <w:p>
      <w:r>
        <w:t xml:space="preserve">b. Full dates of birth</w:t>
      </w:r>
    </w:p>
    <w:p>
      <w:r>
        <w:t xml:space="preserve">c. The year only</w:t>
      </w:r>
    </w:p>
    <w:p>
      <w:r>
        <w:t xml:space="preserve">d. Any date more than five years old</w:t>
      </w:r>
    </w:p>
    <w:p/>
    <w:p>
      <w:r>
        <w:t xml:space="preserve">4. Looking up a patient's record out of curiosity — a coworker, a relative, a public figure — is:</w:t>
      </w:r>
    </w:p>
    <w:p>
      <w:r>
        <w:t xml:space="preserve">a. Allowed if you never tell anyone</w:t>
      </w:r>
    </w:p>
    <w:p>
      <w:r>
        <w:t xml:space="preserve">b. A HIPAA violation, because access must match your job role</w:t>
      </w:r>
    </w:p>
    <w:p>
      <w:r>
        <w:t xml:space="preserve">c. Allowed for immediate family</w:t>
      </w:r>
    </w:p>
    <w:p>
      <w:r>
        <w:t xml:space="preserve">d. Allowed if the record is inactive</w:t>
      </w:r>
    </w:p>
    <w:p/>
    <w:p>
      <w:r>
        <w:t xml:space="preserve">5. A breach is confirmed. Within what timeframe must affected individuals be notified?</w:t>
      </w:r>
    </w:p>
    <w:p>
      <w:r>
        <w:t xml:space="preserve">a. 24 hours</w:t>
      </w:r>
    </w:p>
    <w:p>
      <w:r>
        <w:t xml:space="preserve">b. 10 days</w:t>
      </w:r>
    </w:p>
    <w:p>
      <w:r>
        <w:t xml:space="preserve">c. 60 days</w:t>
      </w:r>
    </w:p>
    <w:p>
      <w:r>
        <w:t xml:space="preserve">d. One year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2026-07-16T12:09:45.294Z</dcterms:created>
  <dcterms:modified xsi:type="dcterms:W3CDTF">2026-07-16T12:09:45.294Z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