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</w:pPr>
    </w:p>
    <w:p>
      <w:pPr>
        <w:spacing w:after="200" w:before="800"/>
        <w:jc w:val="center"/>
      </w:pPr>
      <w:r>
        <w:rPr>
          <w:rFonts w:ascii="微軟正黑體" w:cs="微軟正黑體" w:eastAsia="微軟正黑體" w:hAnsi="微軟正黑體"/>
          <w:b/>
          <w:bCs/>
          <w:color w:val="1F4E79"/>
          <w:sz w:val="52"/>
          <w:szCs w:val="52"/>
        </w:rPr>
        <w:t xml:space="preserve">台灣自來水公司</w:t>
      </w:r>
    </w:p>
    <w:p>
      <w:pPr>
        <w:spacing w:after="600" w:before="100"/>
        <w:jc w:val="center"/>
      </w:pPr>
      <w:r>
        <w:rPr>
          <w:rFonts w:ascii="微軟正黑體" w:cs="微軟正黑體" w:eastAsia="微軟正黑體" w:hAnsi="微軟正黑體"/>
          <w:b/>
          <w:bCs/>
          <w:color w:val="2E75B6"/>
          <w:sz w:val="44"/>
          <w:szCs w:val="44"/>
        </w:rPr>
        <w:t xml:space="preserve">資訊整合系統</w:t>
      </w:r>
    </w:p>
    <w:p>
      <w:pPr>
        <w:pBdr>
          <w:top w:val="single" w:color="2E75B6" w:sz="6"/>
        </w:pBdr>
        <w:spacing w:after="80" w:before="80"/>
        <w:jc w:val="center"/>
      </w:pPr>
    </w:p>
    <w:p>
      <w:pPr>
        <w:spacing w:after="80" w:before="200"/>
        <w:jc w:val="center"/>
      </w:pPr>
      <w:r>
        <w:rPr>
          <w:rFonts w:ascii="微軟正黑體" w:cs="微軟正黑體" w:eastAsia="微軟正黑體" w:hAnsi="微軟正黑體"/>
          <w:color w:val="1F4E79"/>
          <w:sz w:val="36"/>
          <w:szCs w:val="36"/>
        </w:rPr>
        <w:t xml:space="preserve">系統架構與詳細設計文件</w:t>
      </w:r>
    </w:p>
    <w:p>
      <w:pPr>
        <w:pBdr>
          <w:bottom w:val="single" w:color="2E75B6" w:sz="6"/>
        </w:pBdr>
        <w:spacing w:after="600" w:before="80"/>
        <w:jc w:val="center"/>
      </w:pPr>
    </w:p>
    <w:p>
      <w:pPr>
        <w:spacing w:before="400"/>
      </w:pPr>
    </w:p>
    <w:p>
      <w:pPr>
        <w:spacing w:after="60" w:before="80"/>
        <w:jc w:val="center"/>
      </w:pPr>
      <w:r>
        <w:rPr>
          <w:rFonts w:ascii="微軟正黑體" w:cs="微軟正黑體" w:eastAsia="微軟正黑體" w:hAnsi="微軟正黑體"/>
          <w:sz w:val="24"/>
          <w:szCs w:val="24"/>
        </w:rPr>
        <w:t xml:space="preserve">版本：1.0</w:t>
      </w:r>
    </w:p>
    <w:p>
      <w:pPr>
        <w:spacing w:after="60" w:before="60"/>
        <w:jc w:val="center"/>
      </w:pPr>
      <w:r>
        <w:rPr>
          <w:rFonts w:ascii="微軟正黑體" w:cs="微軟正黑體" w:eastAsia="微軟正黑體" w:hAnsi="微軟正黑體"/>
          <w:sz w:val="24"/>
          <w:szCs w:val="24"/>
        </w:rPr>
        <w:t xml:space="preserve">日期：2026-05-14</w:t>
      </w:r>
    </w:p>
    <w:p>
      <w:pPr>
        <w:spacing w:after="60" w:before="60"/>
        <w:jc w:val="center"/>
      </w:pPr>
      <w:r>
        <w:rPr>
          <w:rFonts w:ascii="微軟正黑體" w:cs="微軟正黑體" w:eastAsia="微軟正黑體" w:hAnsi="微軟正黑體"/>
          <w:sz w:val="24"/>
          <w:szCs w:val="24"/>
        </w:rPr>
        <w:t xml:space="preserve">作者：Lance Wu</w:t>
      </w:r>
    </w:p>
    <w:p>
      <w:pPr>
        <w:spacing w:after="60" w:before="60"/>
        <w:jc w:val="center"/>
      </w:pPr>
      <w:r>
        <w:rPr>
          <w:rFonts w:ascii="微軟正黑體" w:cs="微軟正黑體" w:eastAsia="微軟正黑體" w:hAnsi="微軟正黑體"/>
          <w:sz w:val="24"/>
          <w:szCs w:val="24"/>
        </w:rPr>
        <w:t xml:space="preserve">狀態：UAT v2</w:t>
      </w:r>
    </w:p>
    <w:p>
      <w:r>
        <w:br w:type="page"/>
      </w:r>
    </w:p>
    <w:p>
      <w:pPr>
        <w:pStyle w:val="Heading1"/>
        <w:pBdr>
          <w:bottom w:val="single" w:color="2E75B6" w:sz="8" w:space="4"/>
        </w:pBdr>
        <w:spacing w:after="160" w:before="200"/>
      </w:pPr>
      <w:r>
        <w:rPr>
          <w:rFonts w:ascii="微軟正黑體" w:cs="微軟正黑體" w:eastAsia="微軟正黑體" w:hAnsi="微軟正黑體"/>
          <w:b/>
          <w:bCs/>
          <w:color w:val="1F4E79"/>
          <w:sz w:val="32"/>
          <w:szCs w:val="32"/>
        </w:rPr>
        <w:t xml:space="preserve">目錄</w:t>
      </w:r>
    </w:p>
    <w:sdt>
      <w:sdtPr>
        <w:alias w:val="目錄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pBdr>
          <w:bottom w:val="single" w:color="2E75B6" w:sz="8" w:space="4"/>
        </w:pBdr>
        <w:spacing w:after="160" w:before="480"/>
      </w:pPr>
      <w:r>
        <w:rPr>
          <w:rFonts w:ascii="微軟正黑體" w:cs="微軟正黑體" w:eastAsia="微軟正黑體" w:hAnsi="微軟正黑體"/>
          <w:b/>
          <w:bCs/>
          <w:color w:val="1F4E79"/>
          <w:sz w:val="32"/>
          <w:szCs w:val="32"/>
        </w:rPr>
        <w:t xml:space="preserve">第一部分：系統架構圖</w:t>
      </w:r>
    </w:p>
    <w:p>
      <w:pPr>
        <w:pStyle w:val="Heading2"/>
        <w:spacing w:after="120" w:before="320"/>
      </w:pPr>
      <w:r>
        <w:rPr>
          <w:rFonts w:ascii="微軟正黑體" w:cs="微軟正黑體" w:eastAsia="微軟正黑體" w:hAnsi="微軟正黑體"/>
          <w:b/>
          <w:bCs/>
          <w:color w:val="2E75B6"/>
          <w:sz w:val="26"/>
          <w:szCs w:val="26"/>
        </w:rPr>
        <w:t xml:space="preserve">1. 系統整體架構（System Context Diagram）</w:t>
      </w:r>
    </w:p>
    <w:p>
      <w:pPr>
        <w:spacing w:after="60" w:before="60"/>
      </w:pPr>
      <w:r>
        <w:rPr>
          <w:rFonts w:ascii="微軟正黑體" w:cs="微軟正黑體" w:eastAsia="微軟正黑體" w:hAnsi="微軟正黑體"/>
          <w:sz w:val="20"/>
          <w:szCs w:val="20"/>
        </w:rPr>
        <w:t xml:space="preserve">本圖說明台灣自來水公司資訊整合系統與所有外部系統的互動關係，呈現系統邊界與主要使用者。</w:t>
      </w:r>
    </w:p>
    <w:p>
      <w:pPr>
        <w:spacing w:before="120"/>
      </w:pP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┌────────────────────────────────────────────────────────────────────────┐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│                    台灣自來水公司 資訊整合系統                          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├────────────────────────────────────────────────────────────────────────┤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│  使用者                   台水整合系統邊界                  外部系統     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│                                                                    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│  ┌────────┐  HTTPS/JSON  ┌─────────────────┐  LDAP   ┌────────────┐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│  │ 內部員工 │ ──────────▶ │  waterCusSSO     │ ──────▶ │   Active   │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│  └────────┘             │  (JSP 登入前端)   │         │ Directory  │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│                         └────────┬────────┘         └────────────┘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│  ┌────────┐              In-Proc │                                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│  │ 客服人員 │             ┌───────▼─────────┐  JDBC   ┌────────────┐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│  └──┬─────┘             │    ecpsso.jar    │ ──────▶ │  ECP 主DB  │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│     │                   │  (SSO 核心模組)  │         └────────────┘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│     │ Web               └─────────────────┘                      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│     ▼                                                              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│  ┌──────────┐  JDBC     ┌─────────────────┐  JDBC   ┌────────────┐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│  │客服聊天系統│ ◀──────── │  waterHrSync     │ ──────▶ │  KM 人事DB │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│  └──────────┘           │  (HR 同步模組)   │         └────────────┘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│                         └─────────────────┘                      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└────────────────────────────────────────────────────────────────────────┘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before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4000"/>
        <w:gridCol w:w="1826"/>
      </w:tblGrid>
      <w:tr>
        <w:trPr>
          <w:tblHeader/>
        </w:trPr>
        <w:tc>
          <w:tcPr>
            <w:tcW w:type="dxa" w:w="3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r>
              <w:rPr>
                <w:rFonts w:ascii="微軟正黑體" w:cs="微軟正黑體" w:eastAsia="微軟正黑體" w:hAnsi="微軟正黑體"/>
                <w:b/>
                <w:bCs/>
                <w:color w:val="1F4E79"/>
                <w:sz w:val="20"/>
                <w:szCs w:val="20"/>
              </w:rPr>
              <w:t xml:space="preserve">元件</w:t>
            </w:r>
          </w:p>
        </w:tc>
        <w:tc>
          <w:tcPr>
            <w:tcW w:type="dxa" w:w="4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r>
              <w:rPr>
                <w:rFonts w:ascii="微軟正黑體" w:cs="微軟正黑體" w:eastAsia="微軟正黑體" w:hAnsi="微軟正黑體"/>
                <w:b/>
                <w:bCs/>
                <w:color w:val="1F4E79"/>
                <w:sz w:val="20"/>
                <w:szCs w:val="20"/>
              </w:rPr>
              <w:t xml:space="preserve">說明</w:t>
            </w:r>
          </w:p>
        </w:tc>
        <w:tc>
          <w:tcPr>
            <w:tcW w:type="dxa" w:w="182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r>
              <w:rPr>
                <w:rFonts w:ascii="微軟正黑體" w:cs="微軟正黑體" w:eastAsia="微軟正黑體" w:hAnsi="微軟正黑體"/>
                <w:b/>
                <w:bCs/>
                <w:color w:val="1F4E79"/>
                <w:sz w:val="20"/>
                <w:szCs w:val="20"/>
              </w:rPr>
              <w:t xml:space="preserve">通訊協定</w:t>
            </w:r>
          </w:p>
        </w:tc>
      </w:tr>
      <w:tr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內部員工</w:t>
            </w:r>
          </w:p>
        </w:tc>
        <w:tc>
          <w:tcPr>
            <w:tcW w:type="dxa" w:w="4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使用 ECP 平台的公司員工</w:t>
            </w:r>
          </w:p>
        </w:tc>
        <w:tc>
          <w:tcPr>
            <w:tcW w:type="dxa" w:w="18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HTTPS / JSON</w:t>
            </w:r>
          </w:p>
        </w:tc>
      </w:tr>
      <w:tr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客服人員</w:t>
            </w:r>
          </w:p>
        </w:tc>
        <w:tc>
          <w:tcPr>
            <w:tcW w:type="dxa" w:w="4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使用客服聊天系統</w:t>
            </w:r>
          </w:p>
        </w:tc>
        <w:tc>
          <w:tcPr>
            <w:tcW w:type="dxa" w:w="18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Web</w:t>
            </w:r>
          </w:p>
        </w:tc>
      </w:tr>
      <w:tr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waterCusSSO</w:t>
            </w:r>
          </w:p>
        </w:tc>
        <w:tc>
          <w:tcPr>
            <w:tcW w:type="dxa" w:w="4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SSO 單一登入入口（JSP）</w:t>
            </w:r>
          </w:p>
        </w:tc>
        <w:tc>
          <w:tcPr>
            <w:tcW w:type="dxa" w:w="18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HTTPS / JSON</w:t>
            </w:r>
          </w:p>
        </w:tc>
      </w:tr>
      <w:tr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ecpsso.jar</w:t>
            </w:r>
          </w:p>
        </w:tc>
        <w:tc>
          <w:tcPr>
            <w:tcW w:type="dxa" w:w="4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SSO 登入紀錄核心模組</w:t>
            </w:r>
          </w:p>
        </w:tc>
        <w:tc>
          <w:tcPr>
            <w:tcW w:type="dxa" w:w="18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Java In-Process</w:t>
            </w:r>
          </w:p>
        </w:tc>
      </w:tr>
      <w:tr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waterHrSync.jar</w:t>
            </w:r>
          </w:p>
        </w:tc>
        <w:tc>
          <w:tcPr>
            <w:tcW w:type="dxa" w:w="4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HR 同步 + 聊天摘要排程</w:t>
            </w:r>
          </w:p>
        </w:tc>
        <w:tc>
          <w:tcPr>
            <w:tcW w:type="dxa" w:w="18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JDBC / SQL</w:t>
            </w:r>
          </w:p>
        </w:tc>
      </w:tr>
      <w:tr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ECP 平台</w:t>
            </w:r>
          </w:p>
        </w:tc>
        <w:tc>
          <w:tcPr>
            <w:tcW w:type="dxa" w:w="4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主要企業協作平台（外部）</w:t>
            </w:r>
          </w:p>
        </w:tc>
        <w:tc>
          <w:tcPr>
            <w:tcW w:type="dxa" w:w="18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ECP API / JDBC</w:t>
            </w:r>
          </w:p>
        </w:tc>
      </w:tr>
      <w:tr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KM 人事系統</w:t>
            </w:r>
          </w:p>
        </w:tc>
        <w:tc>
          <w:tcPr>
            <w:tcW w:type="dxa" w:w="4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HR 資料來源（唯讀外部）</w:t>
            </w:r>
          </w:p>
        </w:tc>
        <w:tc>
          <w:tcPr>
            <w:tcW w:type="dxa" w:w="18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JDBC</w:t>
            </w:r>
          </w:p>
        </w:tc>
      </w:tr>
      <w:tr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Active Directory</w:t>
            </w:r>
          </w:p>
        </w:tc>
        <w:tc>
          <w:tcPr>
            <w:tcW w:type="dxa" w:w="4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LDAP 身分驗證（外部）</w:t>
            </w:r>
          </w:p>
        </w:tc>
        <w:tc>
          <w:tcPr>
            <w:tcW w:type="dxa" w:w="18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LDAP 389/636</w:t>
            </w:r>
          </w:p>
        </w:tc>
      </w:tr>
      <w:tr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客服聊天系統</w:t>
            </w:r>
          </w:p>
        </w:tc>
        <w:tc>
          <w:tcPr>
            <w:tcW w:type="dxa" w:w="4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聊天資料來源（唯讀外部）</w:t>
            </w:r>
          </w:p>
        </w:tc>
        <w:tc>
          <w:tcPr>
            <w:tcW w:type="dxa" w:w="18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JDBC</w:t>
            </w:r>
          </w:p>
        </w:tc>
      </w:tr>
    </w:tbl>
    <w:p>
      <w:pPr>
        <w:spacing w:before="320"/>
      </w:pPr>
    </w:p>
    <w:p>
      <w:pPr>
        <w:pStyle w:val="Heading2"/>
        <w:spacing w:after="120" w:before="320"/>
      </w:pPr>
      <w:r>
        <w:rPr>
          <w:rFonts w:ascii="微軟正黑體" w:cs="微軟正黑體" w:eastAsia="微軟正黑體" w:hAnsi="微軟正黑體"/>
          <w:b/>
          <w:bCs/>
          <w:color w:val="2E75B6"/>
          <w:sz w:val="26"/>
          <w:szCs w:val="26"/>
        </w:rPr>
        <w:t xml:space="preserve">2. 容器架構圖（Container Diagram）</w:t>
      </w:r>
    </w:p>
    <w:p>
      <w:pPr>
        <w:spacing w:after="60" w:before="60"/>
      </w:pPr>
      <w:r>
        <w:rPr>
          <w:rFonts w:ascii="微軟正黑體" w:cs="微軟正黑體" w:eastAsia="微軟正黑體" w:hAnsi="微軟正黑體"/>
          <w:sz w:val="20"/>
          <w:szCs w:val="20"/>
        </w:rPr>
        <w:t xml:space="preserve">本圖呈現部署於 JBoss/WildFly 上各 WAR/JAR 元件的內部結構，及其與資料庫的連線關係。</w:t>
      </w:r>
    </w:p>
    <w:p>
      <w:pPr>
        <w:spacing w:before="120"/>
      </w:pP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┌─────────────────────── JBoss / WildFly 應用伺服器 ─────────────────────┐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│                                                                    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│  ┌─────────── waterCusSSO.war ────────────────────────────────────┐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│  │  login.jsp   sso.jsp   autologin.jsp                           │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│  │  ↕ CORS/JSON  ↕ Token驗證                                      │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│  └──────────────────────┬─────────────────────────────────────────┘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│                         │ Java In-Process Call                     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│  ┌─────────── ecpsso.jar (Plugin) ───────────────────────────────┐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│  │  SSOLoginLogService → SSOLoginLogDao → TpCUSmLoginLog         │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│  └───────────────────────────────────────────────────────────────┘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│                                                                    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│  ┌─────────── waterHrSync.jar (Plugin) ──────────────────────────┐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│  │  ┌─ HR同步子模組 ──────────────────┐                          │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│  │  │  SyncHrDataRountine (02:00)     │                          │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│  │  │  HrSyncService → HrSyncDao      │                          │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│  │  └─────────────────────────────────┘                          │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│  │  ┌─ 聊天摘要子模組 ────────────────┐                          │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│  │  │  GetChatMessageSummaryRountine  │                          │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│  │  │  ChatMessageSummaryService      │                          │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│  │  └─────────────────────────────────┘                          │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│  └───────────────────────────────────────────────────────────────┘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│                                                                    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└──────────────────────────────────┬─────────────────────────────────────┘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   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┌──────────────────────────┼──────────────────────────┐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▼                          ▼                          ▼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  ┌──────────┐             ┌──────────────┐           ┌────────────┐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  │ ECP 主DB │             │  KM 人事DB   │           │ 客服聊天DB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  │(讀寫)    │             │  (唯讀)       │           │  (唯讀)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  └──────────┘             └──────────────┘           └────────────┘</w:t>
      </w:r>
    </w:p>
    <w:p>
      <w:pPr>
        <w:spacing w:before="320"/>
      </w:pPr>
    </w:p>
    <w:p>
      <w:pPr>
        <w:pStyle w:val="Heading2"/>
        <w:spacing w:after="120" w:before="320"/>
      </w:pPr>
      <w:r>
        <w:rPr>
          <w:rFonts w:ascii="微軟正黑體" w:cs="微軟正黑體" w:eastAsia="微軟正黑體" w:hAnsi="微軟正黑體"/>
          <w:b/>
          <w:bCs/>
          <w:color w:val="2E75B6"/>
          <w:sz w:val="26"/>
          <w:szCs w:val="26"/>
        </w:rPr>
        <w:t xml:space="preserve">3. SSO 登入流程圖（Sequence Diagram）</w:t>
      </w:r>
    </w:p>
    <w:p>
      <w:pPr>
        <w:spacing w:after="60" w:before="60"/>
      </w:pPr>
      <w:r>
        <w:rPr>
          <w:rFonts w:ascii="微軟正黑體" w:cs="微軟正黑體" w:eastAsia="微軟正黑體" w:hAnsi="微軟正黑體"/>
          <w:sz w:val="20"/>
          <w:szCs w:val="20"/>
        </w:rPr>
        <w:t xml:space="preserve">說明員工帳密登入、後續 SSO Token 驗證，及稽核日誌寫入的完整時序。</w:t>
      </w:r>
    </w:p>
    <w:p>
      <w:pPr>
        <w:spacing w:before="120"/>
      </w:pP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員工瀏覽器     login.jsp    Active Directory    ECP Database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    │               │               │            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    │ POST {loginName,password}      │            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    │──────────────▶│               │            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    │               │ LDAP bind     │            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    │               │──────────────▶│            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    │               │◀──────────────│            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    │               │  建立 Session  │            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    │               │────────────────────────────────▶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    │ {success:true,token}           │            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    │◀──────────────│               │            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    │               │               │            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    │ (後續請求)     │               │            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    │  sso.jsp                       │            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    │──────────────────────────────▶│            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    │               │ doSSOToken()  │            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    │               │──────────────────────▶      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    │               │ getSSOToken() │    查詢 TpCUSmLoginLog (5分鐘)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    │               │               │────────────────▶│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    │               │               │◀────────────────│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    │               │               │            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    │ Token有效 → {success:true}     │            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    │ Token失效 → AD fallback → {success:false}    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    │◀──────────────│               │            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    │               │   INSERT TpCUSmLoginLog     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    │               │────────────────────────────────▶</w:t>
      </w:r>
    </w:p>
    <w:p>
      <w:pPr>
        <w:spacing w:before="320"/>
      </w:pPr>
    </w:p>
    <w:p>
      <w:pPr>
        <w:pStyle w:val="Heading2"/>
        <w:spacing w:after="120" w:before="320"/>
      </w:pPr>
      <w:r>
        <w:rPr>
          <w:rFonts w:ascii="微軟正黑體" w:cs="微軟正黑體" w:eastAsia="微軟正黑體" w:hAnsi="微軟正黑體"/>
          <w:b/>
          <w:bCs/>
          <w:color w:val="2E75B6"/>
          <w:sz w:val="26"/>
          <w:szCs w:val="26"/>
        </w:rPr>
        <w:t xml:space="preserve">4. HR 同步流程圖（Sequence Diagram）</w:t>
      </w:r>
    </w:p>
    <w:p>
      <w:pPr>
        <w:spacing w:after="60" w:before="60"/>
      </w:pPr>
      <w:r>
        <w:rPr>
          <w:rFonts w:ascii="微軟正黑體" w:cs="微軟正黑體" w:eastAsia="微軟正黑體" w:hAnsi="微軟正黑體"/>
          <w:sz w:val="20"/>
          <w:szCs w:val="20"/>
        </w:rPr>
        <w:t xml:space="preserve">說明每日凌晨 02:00 排程觸發的 HR 資料同步十步驟流程。</w:t>
      </w:r>
    </w:p>
    <w:p>
      <w:pPr>
        <w:spacing w:before="120"/>
      </w:pP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Timer(02:00)   HrSyncService   HrSyncDao   KM人事系統   ECP Database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     │               │              │            │          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     │ syncHrData()  │              │            │          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     │──────────────▶│              │            │          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     │               │ getHrUserList()           │          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     │               │─────────────▶│            │          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     │               │              │ SELECT v_KM_USER      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     │               │              │───────────▶│          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     │               │              │◀───────────│          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     │               │◀─────────────│            │          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     │               │ getHrDeptList()           │          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     │               │─────────────▶│ SELECT v_KM_DEPT      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     │               │              │───────────▶│          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     │               │◀─────────────│◀───────────│          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     │               │ 拓撲排序 (父部門優先)        │          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     │               │──[loop 每個部門]─────────────────────────▶│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     │               │              │            │  upsert TsDepartment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     │               │              │            │          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     │               │──[loop 每個HR員工]──────────────────────▶│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     │               │              │            │  INSERT/UPDATE TsUser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     │               │              │            │  INSERT/UPDATE TsAccount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     │               │              │            │  ensureAccountIdentity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     │               │              │            │  assignRoles (IT→SysAdmin)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     │               │              │            │          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     │ 完成 (新增N/更新M筆)          │            │          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     │◀──────────────│              │            │              │</w:t>
      </w:r>
    </w:p>
    <w:p>
      <w:pPr>
        <w:spacing w:before="320"/>
      </w:pPr>
    </w:p>
    <w:p>
      <w:pPr>
        <w:pStyle w:val="Heading2"/>
        <w:spacing w:after="120" w:before="320"/>
      </w:pPr>
      <w:r>
        <w:rPr>
          <w:rFonts w:ascii="微軟正黑體" w:cs="微軟正黑體" w:eastAsia="微軟正黑體" w:hAnsi="微軟正黑體"/>
          <w:b/>
          <w:bCs/>
          <w:color w:val="2E75B6"/>
          <w:sz w:val="26"/>
          <w:szCs w:val="26"/>
        </w:rPr>
        <w:t xml:space="preserve">5. 資料庫 ER 圖</w:t>
      </w:r>
    </w:p>
    <w:p>
      <w:pPr>
        <w:spacing w:after="60" w:before="60"/>
      </w:pPr>
      <w:r>
        <w:rPr>
          <w:rFonts w:ascii="微軟正黑體" w:cs="微軟正黑體" w:eastAsia="微軟正黑體" w:hAnsi="微軟正黑體"/>
          <w:sz w:val="20"/>
          <w:szCs w:val="20"/>
        </w:rPr>
        <w:t xml:space="preserve">呈現 ECP 核心資料表與自訂業務資料表之間的主外鍵關聯。</w:t>
      </w:r>
    </w:p>
    <w:p>
      <w:pPr>
        <w:spacing w:before="120"/>
      </w:pP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┌──────────────┐      ┌──────────────────┐      ┌──────────────┐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│  TsUser      │      │  TsDepartment     │      │  TsAccount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│──────────────│      │──────────────────│      │──────────────│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│ FId (PK)     │      │ FId (PK)          │      │ FId (PK) 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│ FName        │      │ FName             │      │ FLoginName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│ FDepartmentId│─────▶│ FParentId (self)  │      │ FPassword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│ FEnabled     │      │ FTreeLevel        │      │ FEmail   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└──────┬───────┘      └──────────────────┘      └──────┬───────┘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       │                                            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       │        ┌────────────────────┐             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       └──────▶ │ TsAccountIdentity  │ ◀───────────────┘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│────────────────────│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│ FId (PK)       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│ FAccountId (FK)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│ FEntityId (FK) 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│ FIdentityTypeId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└────────────────────┘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/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┌──────────────┐      ┌──────────────┐      ┌──────────────────────────┐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│  TsRole      │      │  TsRoleUser  │      │  TpCUSmLoginLog       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│──────────────│      │──────────────│      │──────────────────────────│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│ FId (PK)     │      │ FRoleId (FK) │      │ FId (PK)             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│ FName        │◀─────│ FUserId (FK) │      │ U_SessionID          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└──────────────┘      └──────────────┘      │ U_token              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                 │ FCreateUserId (FK→TsUser)│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┌───────────────── │ FCreateTime  ◀ 需建索引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│                  └──────────────────────────┘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┌────────────────────────────────┐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│  TpCUSmChatMessageSummary   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│────────────────────────────────│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│ FId (PK)                   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│ U_AgentId / U_AgentName    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│ U_ChatId / U_RoomId        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│ U_Content                  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│ U_SenderId / U_SenderName  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│ U_SendTime                 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│ U_UserId / U_UserName      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└────────────────────────────────┘</w:t>
      </w:r>
    </w:p>
    <w:p>
      <w:pPr>
        <w:spacing w:before="320"/>
      </w:pPr>
    </w:p>
    <w:p>
      <w:pPr>
        <w:pStyle w:val="Heading2"/>
        <w:spacing w:after="120" w:before="320"/>
      </w:pPr>
      <w:r>
        <w:rPr>
          <w:rFonts w:ascii="微軟正黑體" w:cs="微軟正黑體" w:eastAsia="微軟正黑體" w:hAnsi="微軟正黑體"/>
          <w:b/>
          <w:bCs/>
          <w:color w:val="2E75B6"/>
          <w:sz w:val="26"/>
          <w:szCs w:val="26"/>
        </w:rPr>
        <w:t xml:space="preserve">6. 部署架構圖</w:t>
      </w:r>
    </w:p>
    <w:p>
      <w:pPr>
        <w:spacing w:after="60" w:before="60"/>
      </w:pPr>
      <w:r>
        <w:rPr>
          <w:rFonts w:ascii="微軟正黑體" w:cs="微軟正黑體" w:eastAsia="微軟正黑體" w:hAnsi="微軟正黑體"/>
          <w:sz w:val="20"/>
          <w:szCs w:val="20"/>
        </w:rPr>
        <w:t xml:space="preserve">說明應用伺服器、資料庫伺服器與 AD 的網路拓撲與連線設定。</w:t>
      </w:r>
    </w:p>
    <w:p>
      <w:pPr>
        <w:spacing w:before="120"/>
      </w:pP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┌──────────────────────── 台水內部網路 ────────────────────────────────┐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│                                                                  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│  ┌──────────────────────────────────┐                           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│  │   員工 Browser                    │                           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│  └──────────────┬───────────────────┘                           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│                 │ HTTPS:443                                      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│                 ▼                                                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│  ┌──────────────────────────────────────────┐                   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│  │   JBoss / WildFly 應用伺服器              │                   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│  │   waterCusSSO.war                        │                   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│  │   (含 ecpsso.jar, waterHrSync.jar)       │                   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│  └────┬──────────────┬────────────┬─────────┘                   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│       │              │            │                              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│   JDBC:default   JDBC:km       LDAP:636                         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│       │              │            │                              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│       ▼              ▼            ▼                              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│  ┌─────────┐  ┌──────────┐  ┌──────────────────────┐           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│  │ECP 主DB │  │KM 人事DB │  │ Active Directory      │           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│  │(讀寫)   │  │(唯讀)    │  │ 網域控制站            │           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│  └─────────┘  └──────────┘  └──────────────────────┘           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│  ┌──────────┐                                                    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│  │客服聊天DB│ ◀── JDBC (唯讀)                                     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│  └──────────┘                                                    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16"/>
          <w:szCs w:val="16"/>
        </w:rPr>
        <w:t xml:space="preserve">└──────────────────────────────────────────────────────────────────────┘</w:t>
      </w:r>
    </w:p>
    <w:p>
      <w:r>
        <w:br w:type="page"/>
      </w:r>
    </w:p>
    <w:p>
      <w:pPr>
        <w:pStyle w:val="Heading1"/>
        <w:pBdr>
          <w:bottom w:val="single" w:color="2E75B6" w:sz="8" w:space="4"/>
        </w:pBdr>
        <w:spacing w:after="160" w:before="480"/>
      </w:pPr>
      <w:r>
        <w:rPr>
          <w:rFonts w:ascii="微軟正黑體" w:cs="微軟正黑體" w:eastAsia="微軟正黑體" w:hAnsi="微軟正黑體"/>
          <w:b/>
          <w:bCs/>
          <w:color w:val="1F4E79"/>
          <w:sz w:val="32"/>
          <w:szCs w:val="32"/>
        </w:rPr>
        <w:t xml:space="preserve">第二部分：詳細設計文件</w:t>
      </w:r>
    </w:p>
    <w:p>
      <w:pPr>
        <w:pStyle w:val="Heading2"/>
        <w:spacing w:after="120" w:before="320"/>
      </w:pPr>
      <w:r>
        <w:rPr>
          <w:rFonts w:ascii="微軟正黑體" w:cs="微軟正黑體" w:eastAsia="微軟正黑體" w:hAnsi="微軟正黑體"/>
          <w:b/>
          <w:bCs/>
          <w:color w:val="2E75B6"/>
          <w:sz w:val="26"/>
          <w:szCs w:val="26"/>
        </w:rPr>
        <w:t xml:space="preserve">1. 專案概述</w:t>
      </w:r>
    </w:p>
    <w:p>
      <w:pPr>
        <w:pStyle w:val="Heading3"/>
        <w:spacing w:after="80" w:before="240"/>
      </w:pPr>
      <w:r>
        <w:rPr>
          <w:rFonts w:ascii="微軟正黑體" w:cs="微軟正黑體" w:eastAsia="微軟正黑體" w:hAnsi="微軟正黑體"/>
          <w:b/>
          <w:bCs/>
          <w:sz w:val="22"/>
          <w:szCs w:val="22"/>
        </w:rPr>
        <w:t xml:space="preserve">1.1 背景</w:t>
      </w:r>
    </w:p>
    <w:p>
      <w:pPr>
        <w:spacing w:after="60" w:before="60"/>
      </w:pPr>
      <w:r>
        <w:rPr>
          <w:rFonts w:ascii="微軟正黑體" w:cs="微軟正黑體" w:eastAsia="微軟正黑體" w:hAnsi="微軟正黑體"/>
          <w:sz w:val="20"/>
          <w:szCs w:val="20"/>
        </w:rPr>
        <w:t xml:space="preserve">台灣自來水公司（台水）委託開發一套資訊整合系統，將人事系統（KM）、企業協作平台（ECP）、客服聊天系統三個核心系統整合，達成以下目標：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微軟正黑體" w:cs="微軟正黑體" w:eastAsia="微軟正黑體" w:hAnsi="微軟正黑體"/>
          <w:sz w:val="20"/>
          <w:szCs w:val="20"/>
        </w:rPr>
        <w:t xml:space="preserve">單一登入（SSO）：員工只需一組帳號即可存取 ECP 平台，透過 Token 機制串接外部系統。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微軟正黑體" w:cs="微軟正黑體" w:eastAsia="微軟正黑體" w:hAnsi="微軟正黑體"/>
          <w:sz w:val="20"/>
          <w:szCs w:val="20"/>
        </w:rPr>
        <w:t xml:space="preserve">HR 資料同步：每日自動將 KM 人事系統的員工與部門資料同步至 ECP，保持帳號資料一致性。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微軟正黑體" w:cs="微軟正黑體" w:eastAsia="微軟正黑體" w:hAnsi="微軟正黑體"/>
          <w:sz w:val="20"/>
          <w:szCs w:val="20"/>
        </w:rPr>
        <w:t xml:space="preserve">聊天摘要彙整：每日彙整客服聊天記錄，儲存至 ECP 資料庫供後續分析。</w:t>
      </w:r>
    </w:p>
    <w:p>
      <w:pPr>
        <w:pStyle w:val="Heading3"/>
        <w:spacing w:after="80" w:before="240"/>
      </w:pPr>
      <w:r>
        <w:rPr>
          <w:rFonts w:ascii="微軟正黑體" w:cs="微軟正黑體" w:eastAsia="微軟正黑體" w:hAnsi="微軟正黑體"/>
          <w:b/>
          <w:bCs/>
          <w:sz w:val="22"/>
          <w:szCs w:val="22"/>
        </w:rPr>
        <w:t xml:space="preserve">1.2 系統邊界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4200"/>
        <w:gridCol w:w="2026"/>
      </w:tblGrid>
      <w:tr>
        <w:trPr>
          <w:tblHeader/>
        </w:trPr>
        <w:tc>
          <w:tcPr>
            <w:tcW w:type="dxa" w:w="2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r>
              <w:rPr>
                <w:rFonts w:ascii="微軟正黑體" w:cs="微軟正黑體" w:eastAsia="微軟正黑體" w:hAnsi="微軟正黑體"/>
                <w:b/>
                <w:bCs/>
                <w:color w:val="1F4E79"/>
                <w:sz w:val="20"/>
                <w:szCs w:val="20"/>
              </w:rPr>
              <w:t xml:space="preserve">系統</w:t>
            </w:r>
          </w:p>
        </w:tc>
        <w:tc>
          <w:tcPr>
            <w:tcW w:type="dxa" w:w="4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r>
              <w:rPr>
                <w:rFonts w:ascii="微軟正黑體" w:cs="微軟正黑體" w:eastAsia="微軟正黑體" w:hAnsi="微軟正黑體"/>
                <w:b/>
                <w:bCs/>
                <w:color w:val="1F4E79"/>
                <w:sz w:val="20"/>
                <w:szCs w:val="20"/>
              </w:rPr>
              <w:t xml:space="preserve">角色</w:t>
            </w:r>
          </w:p>
        </w:tc>
        <w:tc>
          <w:tcPr>
            <w:tcW w:type="dxa" w:w="202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r>
              <w:rPr>
                <w:rFonts w:ascii="微軟正黑體" w:cs="微軟正黑體" w:eastAsia="微軟正黑體" w:hAnsi="微軟正黑體"/>
                <w:b/>
                <w:bCs/>
                <w:color w:val="1F4E79"/>
                <w:sz w:val="20"/>
                <w:szCs w:val="20"/>
              </w:rPr>
              <w:t xml:space="preserve">擁有方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ECP (Quicksilver)</w:t>
            </w:r>
          </w:p>
        </w:tc>
        <w:tc>
          <w:tcPr>
            <w:tcW w:type="dxa" w:w="4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主要企業協作平台，本系統的部署容器</w:t>
            </w:r>
          </w:p>
        </w:tc>
        <w:tc>
          <w:tcPr>
            <w:tcW w:type="dxa" w:w="2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Chainsea 鏈鎖科技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KM 人事系統</w:t>
            </w:r>
          </w:p>
        </w:tc>
        <w:tc>
          <w:tcPr>
            <w:tcW w:type="dxa" w:w="4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HR 資料來源（唯讀）</w:t>
            </w:r>
          </w:p>
        </w:tc>
        <w:tc>
          <w:tcPr>
            <w:tcW w:type="dxa" w:w="2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台水 IT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Active Directory</w:t>
            </w:r>
          </w:p>
        </w:tc>
        <w:tc>
          <w:tcPr>
            <w:tcW w:type="dxa" w:w="4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身分驗證（LDAP）</w:t>
            </w:r>
          </w:p>
        </w:tc>
        <w:tc>
          <w:tcPr>
            <w:tcW w:type="dxa" w:w="2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台水 IT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客服聊天系統</w:t>
            </w:r>
          </w:p>
        </w:tc>
        <w:tc>
          <w:tcPr>
            <w:tcW w:type="dxa" w:w="4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聊天資料來源（唯讀）</w:t>
            </w:r>
          </w:p>
        </w:tc>
        <w:tc>
          <w:tcPr>
            <w:tcW w:type="dxa" w:w="2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台水 IT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本系統</w:t>
            </w:r>
          </w:p>
        </w:tc>
        <w:tc>
          <w:tcPr>
            <w:tcW w:type="dxa" w:w="4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整合中介層</w:t>
            </w:r>
          </w:p>
        </w:tc>
        <w:tc>
          <w:tcPr>
            <w:tcW w:type="dxa" w:w="2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Ai3 / 台水</w:t>
            </w:r>
          </w:p>
        </w:tc>
      </w:tr>
    </w:tbl>
    <w:p>
      <w:pPr>
        <w:pStyle w:val="Heading3"/>
        <w:spacing w:after="80" w:before="240"/>
      </w:pPr>
      <w:r>
        <w:rPr>
          <w:rFonts w:ascii="微軟正黑體" w:cs="微軟正黑體" w:eastAsia="微軟正黑體" w:hAnsi="微軟正黑體"/>
          <w:b/>
          <w:bCs/>
          <w:sz w:val="22"/>
          <w:szCs w:val="22"/>
        </w:rPr>
        <w:t xml:space="preserve">1.3 主要使用者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r>
              <w:rPr>
                <w:rFonts w:ascii="微軟正黑體" w:cs="微軟正黑體" w:eastAsia="微軟正黑體" w:hAnsi="微軟正黑體"/>
                <w:b/>
                <w:bCs/>
                <w:color w:val="1F4E79"/>
                <w:sz w:val="20"/>
                <w:szCs w:val="20"/>
              </w:rPr>
              <w:t xml:space="preserve">角色</w:t>
            </w:r>
          </w:p>
        </w:tc>
        <w:tc>
          <w:tcPr>
            <w:tcW w:type="dxa" w:w="602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r>
              <w:rPr>
                <w:rFonts w:ascii="微軟正黑體" w:cs="微軟正黑體" w:eastAsia="微軟正黑體" w:hAnsi="微軟正黑體"/>
                <w:b/>
                <w:bCs/>
                <w:color w:val="1F4E79"/>
                <w:sz w:val="20"/>
                <w:szCs w:val="20"/>
              </w:rPr>
              <w:t xml:space="preserve">使用方式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內部員工</w:t>
            </w:r>
          </w:p>
        </w:tc>
        <w:tc>
          <w:tcPr>
            <w:tcW w:type="dxa" w:w="6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透過 SSO 登入 ECP 平台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IT 部門</w:t>
            </w:r>
          </w:p>
        </w:tc>
        <w:tc>
          <w:tcPr>
            <w:tcW w:type="dxa" w:w="6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自動同步帳號，系統管理員角色自動指派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客服人員</w:t>
            </w:r>
          </w:p>
        </w:tc>
        <w:tc>
          <w:tcPr>
            <w:tcW w:type="dxa" w:w="6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聊天記錄自動彙整，無需手動操作</w:t>
            </w:r>
          </w:p>
        </w:tc>
      </w:tr>
    </w:tbl>
    <w:p>
      <w:pPr>
        <w:spacing w:before="240"/>
      </w:pPr>
    </w:p>
    <w:p>
      <w:pPr>
        <w:pStyle w:val="Heading2"/>
        <w:spacing w:after="120" w:before="320"/>
      </w:pPr>
      <w:r>
        <w:rPr>
          <w:rFonts w:ascii="微軟正黑體" w:cs="微軟正黑體" w:eastAsia="微軟正黑體" w:hAnsi="微軟正黑體"/>
          <w:b/>
          <w:bCs/>
          <w:color w:val="2E75B6"/>
          <w:sz w:val="26"/>
          <w:szCs w:val="26"/>
        </w:rPr>
        <w:t xml:space="preserve">2. 技術堆疊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800"/>
        <w:gridCol w:w="2426"/>
      </w:tblGrid>
      <w:tr>
        <w:trPr>
          <w:tblHeader/>
        </w:trPr>
        <w:tc>
          <w:tcPr>
            <w:tcW w:type="dxa" w:w="2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r>
              <w:rPr>
                <w:rFonts w:ascii="微軟正黑體" w:cs="微軟正黑體" w:eastAsia="微軟正黑體" w:hAnsi="微軟正黑體"/>
                <w:b/>
                <w:bCs/>
                <w:color w:val="1F4E79"/>
                <w:sz w:val="20"/>
                <w:szCs w:val="20"/>
              </w:rPr>
              <w:t xml:space="preserve">層級</w:t>
            </w:r>
          </w:p>
        </w:tc>
        <w:tc>
          <w:tcPr>
            <w:tcW w:type="dxa" w:w="3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r>
              <w:rPr>
                <w:rFonts w:ascii="微軟正黑體" w:cs="微軟正黑體" w:eastAsia="微軟正黑體" w:hAnsi="微軟正黑體"/>
                <w:b/>
                <w:bCs/>
                <w:color w:val="1F4E79"/>
                <w:sz w:val="20"/>
                <w:szCs w:val="20"/>
              </w:rPr>
              <w:t xml:space="preserve">技術</w:t>
            </w:r>
          </w:p>
        </w:tc>
        <w:tc>
          <w:tcPr>
            <w:tcW w:type="dxa" w:w="242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r>
              <w:rPr>
                <w:rFonts w:ascii="微軟正黑體" w:cs="微軟正黑體" w:eastAsia="微軟正黑體" w:hAnsi="微軟正黑體"/>
                <w:b/>
                <w:bCs/>
                <w:color w:val="1F4E79"/>
                <w:sz w:val="20"/>
                <w:szCs w:val="20"/>
              </w:rPr>
              <w:t xml:space="preserve">版本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語言</w:t>
            </w:r>
          </w:p>
        </w:tc>
        <w:tc>
          <w:tcPr>
            <w:tcW w:type="dxa" w:w="3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Java</w:t>
            </w:r>
          </w:p>
        </w:tc>
        <w:tc>
          <w:tcPr>
            <w:tcW w:type="dxa" w:w="2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17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建置工具</w:t>
            </w:r>
          </w:p>
        </w:tc>
        <w:tc>
          <w:tcPr>
            <w:tcW w:type="dxa" w:w="3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Maven</w:t>
            </w:r>
          </w:p>
        </w:tc>
        <w:tc>
          <w:tcPr>
            <w:tcW w:type="dxa" w:w="2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3.x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應用框架</w:t>
            </w:r>
          </w:p>
        </w:tc>
        <w:tc>
          <w:tcPr>
            <w:tcW w:type="dxa" w:w="3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Quicksilver + ECP</w:t>
            </w:r>
          </w:p>
        </w:tc>
        <w:tc>
          <w:tcPr>
            <w:tcW w:type="dxa" w:w="2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7.1.31.beta22 + 8.5.02.36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應用伺服器</w:t>
            </w:r>
          </w:p>
        </w:tc>
        <w:tc>
          <w:tcPr>
            <w:tcW w:type="dxa" w:w="3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JBoss / WildFly</w:t>
            </w:r>
          </w:p>
        </w:tc>
        <w:tc>
          <w:tcPr>
            <w:tcW w:type="dxa" w:w="2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（依 ECP 平台版本）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前端</w:t>
            </w:r>
          </w:p>
        </w:tc>
        <w:tc>
          <w:tcPr>
            <w:tcW w:type="dxa" w:w="3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JSP (Jakarta EE)</w:t>
            </w:r>
          </w:p>
        </w:tc>
        <w:tc>
          <w:tcPr>
            <w:tcW w:type="dxa" w:w="2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4.0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Servlet</w:t>
            </w:r>
          </w:p>
        </w:tc>
        <w:tc>
          <w:tcPr>
            <w:tcW w:type="dxa" w:w="3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Jakarta Servlet</w:t>
            </w:r>
          </w:p>
        </w:tc>
        <w:tc>
          <w:tcPr>
            <w:tcW w:type="dxa" w:w="2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4.0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JSON 處理</w:t>
            </w:r>
          </w:p>
        </w:tc>
        <w:tc>
          <w:tcPr>
            <w:tcW w:type="dxa" w:w="3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org.json</w:t>
            </w:r>
          </w:p>
        </w:tc>
        <w:tc>
          <w:tcPr>
            <w:tcW w:type="dxa" w:w="2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20240303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日誌</w:t>
            </w:r>
          </w:p>
        </w:tc>
        <w:tc>
          <w:tcPr>
            <w:tcW w:type="dxa" w:w="3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SLF4J + Log4j2</w:t>
            </w:r>
          </w:p>
        </w:tc>
        <w:tc>
          <w:tcPr>
            <w:tcW w:type="dxa" w:w="2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2.0.16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資料庫</w:t>
            </w:r>
          </w:p>
        </w:tc>
        <w:tc>
          <w:tcPr>
            <w:tcW w:type="dxa" w:w="3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MariaDB / SQL Server</w:t>
            </w:r>
          </w:p>
        </w:tc>
        <w:tc>
          <w:tcPr>
            <w:tcW w:type="dxa" w:w="2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（依部署環境）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身分驗證</w:t>
            </w:r>
          </w:p>
        </w:tc>
        <w:tc>
          <w:tcPr>
            <w:tcW w:type="dxa" w:w="3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LDAP / Active Directory</w:t>
            </w:r>
          </w:p>
        </w:tc>
        <w:tc>
          <w:tcPr>
            <w:tcW w:type="dxa" w:w="2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部署單元</w:t>
            </w:r>
          </w:p>
        </w:tc>
        <w:tc>
          <w:tcPr>
            <w:tcW w:type="dxa" w:w="3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WAR + JAR (plugin)</w:t>
            </w:r>
          </w:p>
        </w:tc>
        <w:tc>
          <w:tcPr>
            <w:tcW w:type="dxa" w:w="2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—</w:t>
            </w:r>
          </w:p>
        </w:tc>
      </w:tr>
    </w:tbl>
    <w:p>
      <w:pPr>
        <w:spacing w:before="240"/>
      </w:pPr>
    </w:p>
    <w:p>
      <w:pPr>
        <w:pStyle w:val="Heading2"/>
        <w:spacing w:after="120" w:before="320"/>
      </w:pPr>
      <w:r>
        <w:rPr>
          <w:rFonts w:ascii="微軟正黑體" w:cs="微軟正黑體" w:eastAsia="微軟正黑體" w:hAnsi="微軟正黑體"/>
          <w:b/>
          <w:bCs/>
          <w:color w:val="2E75B6"/>
          <w:sz w:val="26"/>
          <w:szCs w:val="26"/>
        </w:rPr>
        <w:t xml:space="preserve">3. 模組說明</w:t>
      </w:r>
    </w:p>
    <w:p>
      <w:pPr>
        <w:pStyle w:val="Heading3"/>
        <w:spacing w:after="80" w:before="240"/>
      </w:pPr>
      <w:r>
        <w:rPr>
          <w:rFonts w:ascii="微軟正黑體" w:cs="微軟正黑體" w:eastAsia="微軟正黑體" w:hAnsi="微軟正黑體"/>
          <w:b/>
          <w:bCs/>
          <w:sz w:val="22"/>
          <w:szCs w:val="22"/>
        </w:rPr>
        <w:t xml:space="preserve">3.1 ecpsso — SSO 登入紀錄核心模組</w:t>
      </w:r>
    </w:p>
    <w:p>
      <w:pPr>
        <w:spacing w:after="60" w:before="60"/>
      </w:pPr>
      <w:r>
        <w:rPr>
          <w:rFonts w:ascii="微軟正黑體" w:cs="微軟正黑體" w:eastAsia="微軟正黑體" w:hAnsi="微軟正黑體"/>
          <w:sz w:val="20"/>
          <w:szCs w:val="20"/>
        </w:rPr>
        <w:t xml:space="preserve">以 ECP Plugin JAR 形式部署，封裝 SSO Token 驗證與登入稽核邏輯。由 waterCusSSO 的 JSP 頁面在執行期呼叫。</w:t>
      </w:r>
    </w:p>
    <w:p>
      <w:pPr>
        <w:spacing w:before="120"/>
      </w:pPr>
    </w:p>
    <w:p>
      <w:pPr>
        <w:spacing w:after="60" w:before="60"/>
      </w:pPr>
      <w:r>
        <w:rPr>
          <w:rFonts w:ascii="微軟正黑體" w:cs="微軟正黑體" w:eastAsia="微軟正黑體" w:hAnsi="微軟正黑體"/>
          <w:b/>
          <w:bCs/>
          <w:sz w:val="20"/>
          <w:szCs w:val="20"/>
        </w:rPr>
        <w:t xml:space="preserve">包結構：</w:t>
      </w:r>
    </w:p>
    <w:p>
      <w:pPr>
        <w:shd w:fill="F2F2F2" w:val="clear"/>
        <w:spacing w:after="20" w:before="2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com.chainsea.water.ecpsso/</w:t>
      </w:r>
    </w:p>
    <w:p>
      <w:pPr>
        <w:shd w:fill="F2F2F2" w:val="clear"/>
        <w:spacing w:after="20" w:before="2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SSOLoginLogHome.java      ← Service Locator，載入設定、取得服務實體</w:t>
      </w:r>
    </w:p>
    <w:p>
      <w:pPr>
        <w:shd w:fill="F2F2F2" w:val="clear"/>
        <w:spacing w:after="20" w:before="2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model/</w:t>
      </w:r>
    </w:p>
    <w:p>
      <w:pPr>
        <w:shd w:fill="F2F2F2" w:val="clear"/>
        <w:spacing w:after="20" w:before="2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SSOLoginLogModel.java   ← EntityModel 擴展，對應 TpCUSmLoginLog</w:t>
      </w:r>
    </w:p>
    <w:p>
      <w:pPr>
        <w:shd w:fill="F2F2F2" w:val="clear"/>
        <w:spacing w:after="20" w:before="2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dao/</w:t>
      </w:r>
    </w:p>
    <w:p>
      <w:pPr>
        <w:shd w:fill="F2F2F2" w:val="clear"/>
        <w:spacing w:after="20" w:before="2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SSOLoginLogDao.java     ← DAO 介面</w:t>
      </w:r>
    </w:p>
    <w:p>
      <w:pPr>
        <w:shd w:fill="F2F2F2" w:val="clear"/>
        <w:spacing w:after="20" w:before="2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impl/SSOLoginLogDaoImpl.java</w:t>
      </w:r>
    </w:p>
    <w:p>
      <w:pPr>
        <w:shd w:fill="F2F2F2" w:val="clear"/>
        <w:spacing w:after="20" w:before="2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service/</w:t>
      </w:r>
    </w:p>
    <w:p>
      <w:pPr>
        <w:shd w:fill="F2F2F2" w:val="clear"/>
        <w:spacing w:after="20" w:before="2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SSOLoginLogService.java ← Service 介面</w:t>
      </w:r>
    </w:p>
    <w:p>
      <w:pPr>
        <w:shd w:fill="F2F2F2" w:val="clear"/>
        <w:spacing w:after="20" w:before="2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impl/SSOLoginLogServiceImpl.java</w:t>
      </w:r>
    </w:p>
    <w:p>
      <w:pPr>
        <w:shd w:fill="F2F2F2" w:val="clear"/>
        <w:spacing w:after="20" w:before="2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api/impl/SSOLoginLogApiImpl.java  （目前停用）</w:t>
      </w:r>
    </w:p>
    <w:p>
      <w:pPr>
        <w:shd w:fill="F2F2F2" w:val="clear"/>
        <w:spacing w:after="20" w:before="2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action/impl/SSOLoginLogActionImpl.java  （目前停用）</w:t>
      </w:r>
    </w:p>
    <w:p>
      <w:pPr>
        <w:spacing w:before="120"/>
      </w:pPr>
    </w:p>
    <w:p>
      <w:pPr>
        <w:spacing w:after="60" w:before="60"/>
      </w:pPr>
      <w:r>
        <w:rPr>
          <w:rFonts w:ascii="微軟正黑體" w:cs="微軟正黑體" w:eastAsia="微軟正黑體" w:hAnsi="微軟正黑體"/>
          <w:b/>
          <w:bCs/>
          <w:sz w:val="20"/>
          <w:szCs w:val="20"/>
        </w:rPr>
        <w:t xml:space="preserve">關鍵設計決策：</w:t>
      </w:r>
    </w:p>
    <w:p>
      <w:pPr>
        <w:spacing w:after="60" w:before="60"/>
      </w:pPr>
      <w:r>
        <w:rPr>
          <w:rFonts w:ascii="微軟正黑體" w:cs="微軟正黑體" w:eastAsia="微軟正黑體" w:hAnsi="微軟正黑體"/>
          <w:sz w:val="20"/>
          <w:szCs w:val="20"/>
        </w:rPr>
        <w:t xml:space="preserve">Token 有效期 5 分鐘：getSSOToken() 查詢條件限制在最近 5 分鐘內建立的 Token，防止 Token 被重複使用或長期有效帶來的安全風險。</w:t>
      </w:r>
    </w:p>
    <w:p>
      <w:pPr>
        <w:shd w:fill="F2F2F2" w:val="clear"/>
        <w:spacing w:after="20" w:before="2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-- 查詢條件示意</w:t>
      </w:r>
    </w:p>
    <w:p>
      <w:pPr>
        <w:shd w:fill="F2F2F2" w:val="clear"/>
        <w:spacing w:after="20" w:before="2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WHERE FCreateTime &gt;= NOW() - INTERVAL 5 MINUTE</w:t>
      </w:r>
    </w:p>
    <w:p>
      <w:pPr>
        <w:shd w:fill="F2F2F2" w:val="clear"/>
        <w:spacing w:after="20" w:before="2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AND U_token = :token AND FCreateUserId = :empId</w:t>
      </w:r>
    </w:p>
    <w:p>
      <w:pPr>
        <w:spacing w:after="60" w:before="60"/>
      </w:pPr>
      <w:r>
        <w:rPr>
          <w:rFonts w:ascii="微軟正黑體" w:cs="微軟正黑體" w:eastAsia="微軟正黑體" w:hAnsi="微軟正黑體"/>
          <w:sz w:val="20"/>
          <w:szCs w:val="20"/>
        </w:rPr>
        <w:t xml:space="preserve">Unit ID 隔離：ECP 平台以 Unit ID 區隔不同外掛的資料 Cache Region，ecpsso 使用 df6c8bac-d9ce-4e6c-c404-18fc8f33cec0，Cache Region 為 cus_ssologinlog。</w:t>
      </w:r>
    </w:p>
    <w:p>
      <w:pPr>
        <w:spacing w:before="120"/>
      </w:pPr>
    </w:p>
    <w:p>
      <w:pPr>
        <w:spacing w:after="60" w:before="60"/>
      </w:pPr>
      <w:r>
        <w:rPr>
          <w:rFonts w:ascii="微軟正黑體" w:cs="微軟正黑體" w:eastAsia="微軟正黑體" w:hAnsi="微軟正黑體"/>
          <w:b/>
          <w:bCs/>
          <w:sz w:val="20"/>
          <w:szCs w:val="20"/>
        </w:rPr>
        <w:t xml:space="preserve">服務方法：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00"/>
        <w:gridCol w:w="1800"/>
        <w:gridCol w:w="1426"/>
      </w:tblGrid>
      <w:tr>
        <w:trPr>
          <w:tblHeader/>
        </w:trPr>
        <w:tc>
          <w:tcPr>
            <w:tcW w:type="dxa" w:w="26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r>
              <w:rPr>
                <w:rFonts w:ascii="微軟正黑體" w:cs="微軟正黑體" w:eastAsia="微軟正黑體" w:hAnsi="微軟正黑體"/>
                <w:b/>
                <w:bCs/>
                <w:color w:val="1F4E79"/>
                <w:sz w:val="20"/>
                <w:szCs w:val="20"/>
              </w:rPr>
              <w:t xml:space="preserve">方法</w:t>
            </w:r>
          </w:p>
        </w:tc>
        <w:tc>
          <w:tcPr>
            <w:tcW w:type="dxa" w:w="3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r>
              <w:rPr>
                <w:rFonts w:ascii="微軟正黑體" w:cs="微軟正黑體" w:eastAsia="微軟正黑體" w:hAnsi="微軟正黑體"/>
                <w:b/>
                <w:bCs/>
                <w:color w:val="1F4E79"/>
                <w:sz w:val="20"/>
                <w:szCs w:val="20"/>
              </w:rPr>
              <w:t xml:space="preserve">說明</w:t>
            </w:r>
          </w:p>
        </w:tc>
        <w:tc>
          <w:tcPr>
            <w:tcW w:type="dxa" w:w="1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r>
              <w:rPr>
                <w:rFonts w:ascii="微軟正黑體" w:cs="微軟正黑體" w:eastAsia="微軟正黑體" w:hAnsi="微軟正黑體"/>
                <w:b/>
                <w:bCs/>
                <w:color w:val="1F4E79"/>
                <w:sz w:val="20"/>
                <w:szCs w:val="20"/>
              </w:rPr>
              <w:t xml:space="preserve">輸入</w:t>
            </w:r>
          </w:p>
        </w:tc>
        <w:tc>
          <w:tcPr>
            <w:tcW w:type="dxa" w:w="142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r>
              <w:rPr>
                <w:rFonts w:ascii="微軟正黑體" w:cs="微軟正黑體" w:eastAsia="微軟正黑體" w:hAnsi="微軟正黑體"/>
                <w:b/>
                <w:bCs/>
                <w:color w:val="1F4E79"/>
                <w:sz w:val="20"/>
                <w:szCs w:val="20"/>
              </w:rPr>
              <w:t xml:space="preserve">輸出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doSSO(loginName)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驗證帳號是否存在於 ECP 並記錄登入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loginName</w:t>
            </w:r>
          </w:p>
        </w:tc>
        <w:tc>
          <w:tcPr>
            <w:tcW w:type="dxa" w:w="1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boolean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doSSOToken(loginName, token)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驗證 5 分鐘內的有效 Token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loginName, token</w:t>
            </w:r>
          </w:p>
        </w:tc>
        <w:tc>
          <w:tcPr>
            <w:tcW w:type="dxa" w:w="1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boolean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checkUser(loginName)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查詢 TsUser/TsAccount 確認帳號存在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loginName</w:t>
            </w:r>
          </w:p>
        </w:tc>
        <w:tc>
          <w:tcPr>
            <w:tcW w:type="dxa" w:w="1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UserInfo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addLog(sessionId, token, ...)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寫入登入稽核記錄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session 資訊</w:t>
            </w:r>
          </w:p>
        </w:tc>
        <w:tc>
          <w:tcPr>
            <w:tcW w:type="dxa" w:w="1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void</w:t>
            </w:r>
          </w:p>
        </w:tc>
      </w:tr>
    </w:tbl>
    <w:p>
      <w:pPr>
        <w:spacing w:before="240"/>
      </w:pPr>
    </w:p>
    <w:p>
      <w:pPr>
        <w:pStyle w:val="Heading3"/>
        <w:spacing w:after="80" w:before="240"/>
      </w:pPr>
      <w:r>
        <w:rPr>
          <w:rFonts w:ascii="微軟正黑體" w:cs="微軟正黑體" w:eastAsia="微軟正黑體" w:hAnsi="微軟正黑體"/>
          <w:b/>
          <w:bCs/>
          <w:sz w:val="22"/>
          <w:szCs w:val="22"/>
        </w:rPr>
        <w:t xml:space="preserve">3.2 waterCusSSO — 前端登入入口</w:t>
      </w:r>
    </w:p>
    <w:p>
      <w:pPr>
        <w:spacing w:after="60" w:before="60"/>
      </w:pPr>
      <w:r>
        <w:rPr>
          <w:rFonts w:ascii="微軟正黑體" w:cs="微軟正黑體" w:eastAsia="微軟正黑體" w:hAnsi="微軟正黑體"/>
          <w:sz w:val="20"/>
          <w:szCs w:val="20"/>
        </w:rPr>
        <w:t xml:space="preserve">以 WAR 形式部署於 ECP 平台，包含登入頁面（JSP）與 ecpsso.jar 等依賴 JAR。負責接收使用者請求、呼叫 AD 驗證、轉送 SSO Token 驗證。</w:t>
      </w:r>
    </w:p>
    <w:p>
      <w:pPr>
        <w:spacing w:before="120"/>
      </w:pPr>
    </w:p>
    <w:p>
      <w:pPr>
        <w:spacing w:after="60" w:before="60"/>
      </w:pPr>
      <w:r>
        <w:rPr>
          <w:rFonts w:ascii="微軟正黑體" w:cs="微軟正黑體" w:eastAsia="微軟正黑體" w:hAnsi="微軟正黑體"/>
          <w:b/>
          <w:bCs/>
          <w:sz w:val="20"/>
          <w:szCs w:val="20"/>
        </w:rPr>
        <w:t xml:space="preserve">login.jsp 端點設計：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r>
              <w:rPr>
                <w:rFonts w:ascii="微軟正黑體" w:cs="微軟正黑體" w:eastAsia="微軟正黑體" w:hAnsi="微軟正黑體"/>
                <w:b/>
                <w:bCs/>
                <w:color w:val="1F4E79"/>
                <w:sz w:val="20"/>
                <w:szCs w:val="20"/>
              </w:rPr>
              <w:t xml:space="preserve">項目</w:t>
            </w:r>
          </w:p>
        </w:tc>
        <w:tc>
          <w:tcPr>
            <w:tcW w:type="dxa" w:w="682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r>
              <w:rPr>
                <w:rFonts w:ascii="微軟正黑體" w:cs="微軟正黑體" w:eastAsia="微軟正黑體" w:hAnsi="微軟正黑體"/>
                <w:b/>
                <w:bCs/>
                <w:color w:val="1F4E79"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HTTP 方法</w:t>
            </w:r>
          </w:p>
        </w:tc>
        <w:tc>
          <w:tcPr>
            <w:tcW w:type="dxa" w:w="68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POST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Content-Type</w:t>
            </w:r>
          </w:p>
        </w:tc>
        <w:tc>
          <w:tcPr>
            <w:tcW w:type="dxa" w:w="68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application/json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CORS</w:t>
            </w:r>
          </w:p>
        </w:tc>
        <w:tc>
          <w:tcPr>
            <w:tcW w:type="dxa" w:w="68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支援跨域（設有 CORS Header）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Request Body</w:t>
            </w:r>
          </w:p>
        </w:tc>
        <w:tc>
          <w:tcPr>
            <w:tcW w:type="dxa" w:w="68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{ "loginName": "empId or username", "password": "plaintext" }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Response</w:t>
            </w:r>
          </w:p>
        </w:tc>
        <w:tc>
          <w:tcPr>
            <w:tcW w:type="dxa" w:w="68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{ "success": true }</w:t>
            </w:r>
          </w:p>
        </w:tc>
      </w:tr>
    </w:tbl>
    <w:p>
      <w:pPr>
        <w:spacing w:before="120"/>
      </w:pPr>
    </w:p>
    <w:p>
      <w:pPr>
        <w:spacing w:after="60" w:before="60"/>
      </w:pPr>
      <w:r>
        <w:rPr>
          <w:rFonts w:ascii="微軟正黑體" w:cs="微軟正黑體" w:eastAsia="微軟正黑體" w:hAnsi="微軟正黑體"/>
          <w:b/>
          <w:bCs/>
          <w:sz w:val="20"/>
          <w:szCs w:val="20"/>
        </w:rPr>
        <w:t xml:space="preserve">login.jsp 處理流程：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微軟正黑體" w:cs="微軟正黑體" w:eastAsia="微軟正黑體" w:hAnsi="微軟正黑體"/>
          <w:sz w:val="20"/>
          <w:szCs w:val="20"/>
        </w:rPr>
        <w:t xml:space="preserve">解析 JSON 請求體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微軟正黑體" w:cs="微軟正黑體" w:eastAsia="微軟正黑體" w:hAnsi="微軟正黑體"/>
          <w:sz w:val="20"/>
          <w:szCs w:val="20"/>
        </w:rPr>
        <w:t xml:space="preserve">呼叫 Quicksilver API 進行 AD/LDAP 驗證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微軟正黑體" w:cs="微軟正黑體" w:eastAsia="微軟正黑體" w:hAnsi="微軟正黑體"/>
          <w:sz w:val="20"/>
          <w:szCs w:val="20"/>
        </w:rPr>
        <w:t xml:space="preserve">驗證成功後設定語言 Cookie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微軟正黑體" w:cs="微軟正黑體" w:eastAsia="微軟正黑體" w:hAnsi="微軟正黑體"/>
          <w:sz w:val="20"/>
          <w:szCs w:val="20"/>
        </w:rPr>
        <w:t xml:space="preserve">建立 ECP Session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微軟正黑體" w:cs="微軟正黑體" w:eastAsia="微軟正黑體" w:hAnsi="微軟正黑體"/>
          <w:sz w:val="20"/>
          <w:szCs w:val="20"/>
        </w:rPr>
        <w:t xml:space="preserve">記錄請求時間戳、來源 IP、使用者名稱至伺服器日誌</w:t>
      </w:r>
    </w:p>
    <w:p>
      <w:pPr>
        <w:spacing w:before="120"/>
      </w:pPr>
    </w:p>
    <w:p>
      <w:pPr>
        <w:spacing w:after="60" w:before="60"/>
      </w:pPr>
      <w:r>
        <w:rPr>
          <w:rFonts w:ascii="微軟正黑體" w:cs="微軟正黑體" w:eastAsia="微軟正黑體" w:hAnsi="微軟正黑體"/>
          <w:b/>
          <w:bCs/>
          <w:sz w:val="20"/>
          <w:szCs w:val="20"/>
        </w:rPr>
        <w:t xml:space="preserve">sso.jsp 端點設計：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r>
              <w:rPr>
                <w:rFonts w:ascii="微軟正黑體" w:cs="微軟正黑體" w:eastAsia="微軟正黑體" w:hAnsi="微軟正黑體"/>
                <w:b/>
                <w:bCs/>
                <w:color w:val="1F4E79"/>
                <w:sz w:val="20"/>
                <w:szCs w:val="20"/>
              </w:rPr>
              <w:t xml:space="preserve">項目</w:t>
            </w:r>
          </w:p>
        </w:tc>
        <w:tc>
          <w:tcPr>
            <w:tcW w:type="dxa" w:w="682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r>
              <w:rPr>
                <w:rFonts w:ascii="微軟正黑體" w:cs="微軟正黑體" w:eastAsia="微軟正黑體" w:hAnsi="微軟正黑體"/>
                <w:b/>
                <w:bCs/>
                <w:color w:val="1F4E79"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HTTP 方法</w:t>
            </w:r>
          </w:p>
        </w:tc>
        <w:tc>
          <w:tcPr>
            <w:tcW w:type="dxa" w:w="68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POST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Content-Type</w:t>
            </w:r>
          </w:p>
        </w:tc>
        <w:tc>
          <w:tcPr>
            <w:tcW w:type="dxa" w:w="68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application/json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Request Body</w:t>
            </w:r>
          </w:p>
        </w:tc>
        <w:tc>
          <w:tcPr>
            <w:tcW w:type="dxa" w:w="68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{ "loginName": "empId", "token": "UUID or custom token" }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Response</w:t>
            </w:r>
          </w:p>
        </w:tc>
        <w:tc>
          <w:tcPr>
            <w:tcW w:type="dxa" w:w="68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{ "success": true / false }</w:t>
            </w:r>
          </w:p>
        </w:tc>
      </w:tr>
    </w:tbl>
    <w:p>
      <w:pPr>
        <w:spacing w:before="120"/>
      </w:pPr>
    </w:p>
    <w:p>
      <w:pPr>
        <w:spacing w:after="60" w:before="60"/>
      </w:pPr>
      <w:r>
        <w:rPr>
          <w:rFonts w:ascii="微軟正黑體" w:cs="微軟正黑體" w:eastAsia="微軟正黑體" w:hAnsi="微軟正黑體"/>
          <w:b/>
          <w:bCs/>
          <w:sz w:val="20"/>
          <w:szCs w:val="20"/>
        </w:rPr>
        <w:t xml:space="preserve">sso.jsp 處理流程：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微軟正黑體" w:cs="微軟正黑體" w:eastAsia="微軟正黑體" w:hAnsi="微軟正黑體"/>
          <w:sz w:val="20"/>
          <w:szCs w:val="20"/>
        </w:rPr>
        <w:t xml:space="preserve">解析 JSON 請求體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微軟正黑體" w:cs="微軟正黑體" w:eastAsia="微軟正黑體" w:hAnsi="微軟正黑體"/>
          <w:sz w:val="20"/>
          <w:szCs w:val="20"/>
        </w:rPr>
        <w:t xml:space="preserve">呼叫 SSOLoginLogHome.getService().doSSOToken(loginName, token)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微軟正黑體" w:cs="微軟正黑體" w:eastAsia="微軟正黑體" w:hAnsi="微軟正黑體"/>
          <w:sz w:val="20"/>
          <w:szCs w:val="20"/>
        </w:rPr>
        <w:t xml:space="preserve">若 Token 有效 → 回傳成功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微軟正黑體" w:cs="微軟正黑體" w:eastAsia="微軟正黑體" w:hAnsi="微軟正黑體"/>
          <w:sz w:val="20"/>
          <w:szCs w:val="20"/>
        </w:rPr>
        <w:t xml:space="preserve">若 Token 失效 → 嘗試 AD Fallback 登入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微軟正黑體" w:cs="微軟正黑體" w:eastAsia="微軟正黑體" w:hAnsi="微軟正黑體"/>
          <w:sz w:val="20"/>
          <w:szCs w:val="20"/>
        </w:rPr>
        <w:t xml:space="preserve">寫入日誌至 sso_auth.log</w:t>
      </w:r>
    </w:p>
    <w:p>
      <w:pPr>
        <w:spacing w:before="240"/>
      </w:pPr>
    </w:p>
    <w:p>
      <w:pPr>
        <w:pStyle w:val="Heading3"/>
        <w:spacing w:after="80" w:before="240"/>
      </w:pPr>
      <w:r>
        <w:rPr>
          <w:rFonts w:ascii="微軟正黑體" w:cs="微軟正黑體" w:eastAsia="微軟正黑體" w:hAnsi="微軟正黑體"/>
          <w:b/>
          <w:bCs/>
          <w:sz w:val="22"/>
          <w:szCs w:val="22"/>
        </w:rPr>
        <w:t xml:space="preserve">3.3 waterHrSync — HR 同步與聊天摘要</w:t>
      </w:r>
    </w:p>
    <w:p>
      <w:pPr>
        <w:spacing w:after="60" w:before="60"/>
      </w:pPr>
      <w:r>
        <w:rPr>
          <w:rFonts w:ascii="微軟正黑體" w:cs="微軟正黑體" w:eastAsia="微軟正黑體" w:hAnsi="微軟正黑體"/>
          <w:sz w:val="20"/>
          <w:szCs w:val="20"/>
        </w:rPr>
        <w:t xml:space="preserve">以 ECP Plugin JAR 形式部署，包含兩個子模組：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微軟正黑體" w:cs="微軟正黑體" w:eastAsia="微軟正黑體" w:hAnsi="微軟正黑體"/>
          <w:sz w:val="20"/>
          <w:szCs w:val="20"/>
        </w:rPr>
        <w:t xml:space="preserve">hrsync：每日凌晨 02:00 將 KM 人事資料同步至 ECP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微軟正黑體" w:cs="微軟正黑體" w:eastAsia="微軟正黑體" w:hAnsi="微軟正黑體"/>
          <w:sz w:val="20"/>
          <w:szCs w:val="20"/>
        </w:rPr>
        <w:t xml:space="preserve">chatmessagesummary：每日彙整前一日聊天記錄</w:t>
      </w:r>
    </w:p>
    <w:p>
      <w:pPr>
        <w:spacing w:before="120"/>
      </w:pPr>
    </w:p>
    <w:p>
      <w:pPr>
        <w:spacing w:after="60" w:before="60"/>
      </w:pPr>
      <w:r>
        <w:rPr>
          <w:rFonts w:ascii="微軟正黑體" w:cs="微軟正黑體" w:eastAsia="微軟正黑體" w:hAnsi="微軟正黑體"/>
          <w:b/>
          <w:bCs/>
          <w:color w:val="2E75B6"/>
          <w:sz w:val="20"/>
          <w:szCs w:val="20"/>
        </w:rPr>
        <w:t xml:space="preserve">3.3.1 HR 同步子模組</w:t>
      </w:r>
    </w:p>
    <w:p>
      <w:pPr>
        <w:spacing w:after="60" w:before="60"/>
      </w:pPr>
      <w:r>
        <w:rPr>
          <w:rFonts w:ascii="微軟正黑體" w:cs="微軟正黑體" w:eastAsia="微軟正黑體" w:hAnsi="微軟正黑體"/>
          <w:sz w:val="20"/>
          <w:szCs w:val="20"/>
        </w:rPr>
        <w:t xml:space="preserve">Unit ID：4806684c-e000-3135-6003-1961e9cb6d01</w:t>
      </w:r>
    </w:p>
    <w:p>
      <w:pPr>
        <w:spacing w:before="80"/>
      </w:pPr>
    </w:p>
    <w:p>
      <w:pPr>
        <w:spacing w:after="60" w:before="60"/>
      </w:pPr>
      <w:r>
        <w:rPr>
          <w:rFonts w:ascii="微軟正黑體" w:cs="微軟正黑體" w:eastAsia="微軟正黑體" w:hAnsi="微軟正黑體"/>
          <w:b/>
          <w:bCs/>
          <w:sz w:val="20"/>
          <w:szCs w:val="20"/>
        </w:rPr>
        <w:t xml:space="preserve">資料來源：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5000"/>
        <w:gridCol w:w="1826"/>
      </w:tblGrid>
      <w:tr>
        <w:trPr>
          <w:tblHeader/>
        </w:trPr>
        <w:tc>
          <w:tcPr>
            <w:tcW w:type="dxa" w:w="2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r>
              <w:rPr>
                <w:rFonts w:ascii="微軟正黑體" w:cs="微軟正黑體" w:eastAsia="微軟正黑體" w:hAnsi="微軟正黑體"/>
                <w:b/>
                <w:bCs/>
                <w:color w:val="1F4E79"/>
                <w:sz w:val="20"/>
                <w:szCs w:val="20"/>
              </w:rPr>
              <w:t xml:space="preserve">來源</w:t>
            </w:r>
          </w:p>
        </w:tc>
        <w:tc>
          <w:tcPr>
            <w:tcW w:type="dxa" w:w="5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r>
              <w:rPr>
                <w:rFonts w:ascii="微軟正黑體" w:cs="微軟正黑體" w:eastAsia="微軟正黑體" w:hAnsi="微軟正黑體"/>
                <w:b/>
                <w:bCs/>
                <w:color w:val="1F4E79"/>
                <w:sz w:val="20"/>
                <w:szCs w:val="20"/>
              </w:rPr>
              <w:t xml:space="preserve">說明</w:t>
            </w:r>
          </w:p>
        </w:tc>
        <w:tc>
          <w:tcPr>
            <w:tcW w:type="dxa" w:w="182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r>
              <w:rPr>
                <w:rFonts w:ascii="微軟正黑體" w:cs="微軟正黑體" w:eastAsia="微軟正黑體" w:hAnsi="微軟正黑體"/>
                <w:b/>
                <w:bCs/>
                <w:color w:val="1F4E79"/>
                <w:sz w:val="20"/>
                <w:szCs w:val="20"/>
              </w:rPr>
              <w:t xml:space="preserve">Executor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v_KM_USER</w:t>
            </w:r>
          </w:p>
        </w:tc>
        <w:tc>
          <w:tcPr>
            <w:tcW w:type="dxa" w:w="5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HR 員工 View（部門 ID 以 00 開頭）</w:t>
            </w:r>
          </w:p>
        </w:tc>
        <w:tc>
          <w:tcPr>
            <w:tcW w:type="dxa" w:w="18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km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v_KM_DEPT</w:t>
            </w:r>
          </w:p>
        </w:tc>
        <w:tc>
          <w:tcPr>
            <w:tcW w:type="dxa" w:w="5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HR 部門 View（含父子關係）</w:t>
            </w:r>
          </w:p>
        </w:tc>
        <w:tc>
          <w:tcPr>
            <w:tcW w:type="dxa" w:w="18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km</w:t>
            </w:r>
          </w:p>
        </w:tc>
      </w:tr>
    </w:tbl>
    <w:p>
      <w:pPr>
        <w:spacing w:before="120"/>
      </w:pPr>
    </w:p>
    <w:p>
      <w:pPr>
        <w:spacing w:after="60" w:before="60"/>
      </w:pPr>
      <w:r>
        <w:rPr>
          <w:rFonts w:ascii="微軟正黑體" w:cs="微軟正黑體" w:eastAsia="微軟正黑體" w:hAnsi="微軟正黑體"/>
          <w:b/>
          <w:bCs/>
          <w:sz w:val="20"/>
          <w:szCs w:val="20"/>
        </w:rPr>
        <w:t xml:space="preserve">欄位對應（v_KM_USER → ECP）：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00"/>
        <w:gridCol w:w="3226"/>
      </w:tblGrid>
      <w:tr>
        <w:trPr>
          <w:tblHeader/>
        </w:trPr>
        <w:tc>
          <w:tcPr>
            <w:tcW w:type="dxa" w:w="26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r>
              <w:rPr>
                <w:rFonts w:ascii="微軟正黑體" w:cs="微軟正黑體" w:eastAsia="微軟正黑體" w:hAnsi="微軟正黑體"/>
                <w:b/>
                <w:bCs/>
                <w:color w:val="1F4E79"/>
                <w:sz w:val="20"/>
                <w:szCs w:val="20"/>
              </w:rPr>
              <w:t xml:space="preserve">KM 欄位</w:t>
            </w:r>
          </w:p>
        </w:tc>
        <w:tc>
          <w:tcPr>
            <w:tcW w:type="dxa" w:w="3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r>
              <w:rPr>
                <w:rFonts w:ascii="微軟正黑體" w:cs="微軟正黑體" w:eastAsia="微軟正黑體" w:hAnsi="微軟正黑體"/>
                <w:b/>
                <w:bCs/>
                <w:color w:val="1F4E79"/>
                <w:sz w:val="20"/>
                <w:szCs w:val="20"/>
              </w:rPr>
              <w:t xml:space="preserve">ECP 欄位</w:t>
            </w:r>
          </w:p>
        </w:tc>
        <w:tc>
          <w:tcPr>
            <w:tcW w:type="dxa" w:w="322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r>
              <w:rPr>
                <w:rFonts w:ascii="微軟正黑體" w:cs="微軟正黑體" w:eastAsia="微軟正黑體" w:hAnsi="微軟正黑體"/>
                <w:b/>
                <w:bCs/>
                <w:color w:val="1F4E79"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EMPLOYEEID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TsUser.FId (衍生)</w:t>
            </w:r>
          </w:p>
        </w:tc>
        <w:tc>
          <w:tcPr>
            <w:tcW w:type="dxa" w:w="3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員工編號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DISPLAYNAME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TsUser.FName</w:t>
            </w:r>
          </w:p>
        </w:tc>
        <w:tc>
          <w:tcPr>
            <w:tcW w:type="dxa" w:w="3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顯示名稱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EMAILADDRESS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TsAccount.FEmail</w:t>
            </w:r>
          </w:p>
        </w:tc>
        <w:tc>
          <w:tcPr>
            <w:tcW w:type="dxa" w:w="3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電子郵件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LOGINID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TsAccount.FLoginName</w:t>
            </w:r>
          </w:p>
        </w:tc>
        <w:tc>
          <w:tcPr>
            <w:tcW w:type="dxa" w:w="3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登入帳號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DEPARTMENTID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TsUser.FDepartmentId</w:t>
            </w:r>
          </w:p>
        </w:tc>
        <w:tc>
          <w:tcPr>
            <w:tcW w:type="dxa" w:w="3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所屬部門</w:t>
            </w:r>
          </w:p>
        </w:tc>
      </w:tr>
    </w:tbl>
    <w:p>
      <w:pPr>
        <w:spacing w:before="120"/>
      </w:pPr>
    </w:p>
    <w:p>
      <w:pPr>
        <w:spacing w:after="60" w:before="60"/>
      </w:pPr>
      <w:r>
        <w:rPr>
          <w:rFonts w:ascii="微軟正黑體" w:cs="微軟正黑體" w:eastAsia="微軟正黑體" w:hAnsi="微軟正黑體"/>
          <w:b/>
          <w:bCs/>
          <w:sz w:val="20"/>
          <w:szCs w:val="20"/>
        </w:rPr>
        <w:t xml:space="preserve">syncHrData() 執行步驟：</w:t>
      </w:r>
    </w:p>
    <w:p>
      <w:pPr>
        <w:shd w:fill="F2F2F2" w:val="clear"/>
        <w:spacing w:after="20" w:before="2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Step 1:  從 v_KM_USER 讀取 HR 員工清單（dept starts with '00'）</w:t>
      </w:r>
    </w:p>
    <w:p>
      <w:pPr>
        <w:shd w:fill="F2F2F2" w:val="clear"/>
        <w:spacing w:after="20" w:before="2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Step 2:  從 v_KM_DEPT 讀取部門清單，拓撲排序後同步至 TsDepartment</w:t>
      </w:r>
    </w:p>
    <w:p>
      <w:pPr>
        <w:shd w:fill="F2F2F2" w:val="clear"/>
        <w:spacing w:after="20" w:before="2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Step 3:  建立 HR 員工 LoginId → HrUser 的 Map</w:t>
      </w:r>
    </w:p>
    <w:p>
      <w:pPr>
        <w:shd w:fill="F2F2F2" w:val="clear"/>
        <w:spacing w:after="20" w:before="2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Step 4:  讀取現有 ECP TsUser 清單</w:t>
      </w:r>
    </w:p>
    <w:p>
      <w:pPr>
        <w:shd w:fill="F2F2F2" w:val="clear"/>
        <w:spacing w:after="20" w:before="2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Step 5:  讀取 IT 部門 ID 清單（部門名稱含「資訊」）</w:t>
      </w:r>
    </w:p>
    <w:p>
      <w:pPr>
        <w:shd w:fill="F2F2F2" w:val="clear"/>
        <w:spacing w:after="20" w:before="2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Step 6:  讀取預設角色與 SysAdmin 角色</w:t>
      </w:r>
    </w:p>
    <w:p>
      <w:pPr>
        <w:shd w:fill="F2F2F2" w:val="clear"/>
        <w:spacing w:after="20" w:before="2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Step 7:  逐一比對，新增或更新 TsUser / TsAccount</w:t>
      </w:r>
    </w:p>
    <w:p>
      <w:pPr>
        <w:shd w:fill="F2F2F2" w:val="clear"/>
        <w:spacing w:after="20" w:before="2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Step 8:  確保 TsAccountIdentity 存在（帳號-人員對應）</w:t>
      </w:r>
    </w:p>
    <w:p>
      <w:pPr>
        <w:shd w:fill="F2F2F2" w:val="clear"/>
        <w:spacing w:after="20" w:before="2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Step 9:  指派預設角色；IT 部門額外指派 SysAdmin 角色</w:t>
      </w:r>
    </w:p>
    <w:p>
      <w:pPr>
        <w:shd w:fill="F2F2F2" w:val="clear"/>
        <w:spacing w:after="20" w:before="2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Step 10: 記錄同步結果（新增 N 筆 / 更新 M 筆）</w:t>
      </w:r>
    </w:p>
    <w:p>
      <w:pPr>
        <w:spacing w:before="120"/>
      </w:pPr>
    </w:p>
    <w:p>
      <w:pPr>
        <w:spacing w:after="60" w:before="60"/>
      </w:pPr>
      <w:r>
        <w:rPr>
          <w:rFonts w:ascii="微軟正黑體" w:cs="微軟正黑體" w:eastAsia="微軟正黑體" w:hAnsi="微軟正黑體"/>
          <w:b/>
          <w:bCs/>
          <w:sz w:val="20"/>
          <w:szCs w:val="20"/>
        </w:rPr>
        <w:t xml:space="preserve">角色指派規則：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26"/>
      </w:tblGrid>
      <w:tr>
        <w:trPr>
          <w:tblHeader/>
        </w:trPr>
        <w:tc>
          <w:tcPr>
            <w:tcW w:type="dxa" w:w="3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r>
              <w:rPr>
                <w:rFonts w:ascii="微軟正黑體" w:cs="微軟正黑體" w:eastAsia="微軟正黑體" w:hAnsi="微軟正黑體"/>
                <w:b/>
                <w:bCs/>
                <w:color w:val="1F4E79"/>
                <w:sz w:val="20"/>
                <w:szCs w:val="20"/>
              </w:rPr>
              <w:t xml:space="preserve">條件</w:t>
            </w:r>
          </w:p>
        </w:tc>
        <w:tc>
          <w:tcPr>
            <w:tcW w:type="dxa" w:w="562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r>
              <w:rPr>
                <w:rFonts w:ascii="微軟正黑體" w:cs="微軟正黑體" w:eastAsia="微軟正黑體" w:hAnsi="微軟正黑體"/>
                <w:b/>
                <w:bCs/>
                <w:color w:val="1F4E79"/>
                <w:sz w:val="20"/>
                <w:szCs w:val="20"/>
              </w:rPr>
              <w:t xml:space="preserve">角色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所有同步員工</w:t>
            </w:r>
          </w:p>
        </w:tc>
        <w:tc>
          <w:tcPr>
            <w:tcW w:type="dxa" w:w="5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預設角色（hrsync.properties 中設定）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部門名稱含「資訊」</w:t>
            </w:r>
          </w:p>
        </w:tc>
        <w:tc>
          <w:tcPr>
            <w:tcW w:type="dxa" w:w="5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額外指派 SysAdmin 角色</w:t>
            </w:r>
          </w:p>
        </w:tc>
      </w:tr>
    </w:tbl>
    <w:p>
      <w:pPr>
        <w:spacing w:before="160"/>
      </w:pPr>
    </w:p>
    <w:p>
      <w:pPr>
        <w:spacing w:after="60" w:before="60"/>
      </w:pPr>
      <w:r>
        <w:rPr>
          <w:rFonts w:ascii="微軟正黑體" w:cs="微軟正黑體" w:eastAsia="微軟正黑體" w:hAnsi="微軟正黑體"/>
          <w:b/>
          <w:bCs/>
          <w:color w:val="2E75B6"/>
          <w:sz w:val="20"/>
          <w:szCs w:val="20"/>
        </w:rPr>
        <w:t xml:space="preserve">3.3.2 聊天摘要子模組</w:t>
      </w:r>
    </w:p>
    <w:p>
      <w:pPr>
        <w:spacing w:after="60" w:before="60"/>
      </w:pPr>
      <w:r>
        <w:rPr>
          <w:rFonts w:ascii="微軟正黑體" w:cs="微軟正黑體" w:eastAsia="微軟正黑體" w:hAnsi="微軟正黑體"/>
          <w:sz w:val="20"/>
          <w:szCs w:val="20"/>
        </w:rPr>
        <w:t xml:space="preserve">Unit ID：4806684c-e000-3135-6003-1961e9cb6d00</w:t>
      </w:r>
    </w:p>
    <w:p>
      <w:pPr>
        <w:spacing w:before="80"/>
      </w:pPr>
    </w:p>
    <w:p>
      <w:pPr>
        <w:spacing w:after="60" w:before="60"/>
      </w:pPr>
      <w:r>
        <w:rPr>
          <w:rFonts w:ascii="微軟正黑體" w:cs="微軟正黑體" w:eastAsia="微軟正黑體" w:hAnsi="微軟正黑體"/>
          <w:b/>
          <w:bCs/>
          <w:sz w:val="20"/>
          <w:szCs w:val="20"/>
        </w:rPr>
        <w:t xml:space="preserve">彙整流程：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微軟正黑體" w:cs="微軟正黑體" w:eastAsia="微軟正黑體" w:hAnsi="微軟正黑體"/>
          <w:sz w:val="20"/>
          <w:szCs w:val="20"/>
        </w:rPr>
        <w:t xml:space="preserve">GetChatMessageSummaryRountine 觸發（每日執行）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微軟正黑體" w:cs="微軟正黑體" w:eastAsia="微軟正黑體" w:hAnsi="微軟正黑體"/>
          <w:sz w:val="20"/>
          <w:szCs w:val="20"/>
        </w:rPr>
        <w:t xml:space="preserve">取得目標日期：Timer args 指定，或預設昨日（LocalDate.now().minusDays(1)）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微軟正黑體" w:cs="微軟正黑體" w:eastAsia="微軟正黑體" w:hAnsi="微軟正黑體"/>
          <w:sz w:val="20"/>
          <w:szCs w:val="20"/>
        </w:rPr>
        <w:t xml:space="preserve">ChatMessageSummaryService.getChatMessageSummary(targetDate) 呼叫 DAO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微軟正黑體" w:cs="微軟正黑體" w:eastAsia="微軟正黑體" w:hAnsi="微軟正黑體"/>
          <w:sz w:val="20"/>
          <w:szCs w:val="20"/>
        </w:rPr>
        <w:t xml:space="preserve">跨表 JOIN 查詢 TcChatMessage、TrChatSeatStatus、TsUser、TcContact、TcChatMan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微軟正黑體" w:cs="微軟正黑體" w:eastAsia="微軟正黑體" w:hAnsi="微軟正黑體"/>
          <w:sz w:val="20"/>
          <w:szCs w:val="20"/>
        </w:rPr>
        <w:t xml:space="preserve">Batch INSERT 寫入 TpCUSmChatMessageSummary</w:t>
      </w:r>
    </w:p>
    <w:p>
      <w:r>
        <w:br w:type="page"/>
      </w:r>
    </w:p>
    <w:p>
      <w:pPr>
        <w:pStyle w:val="Heading2"/>
        <w:spacing w:after="120" w:before="320"/>
      </w:pPr>
      <w:r>
        <w:rPr>
          <w:rFonts w:ascii="微軟正黑體" w:cs="微軟正黑體" w:eastAsia="微軟正黑體" w:hAnsi="微軟正黑體"/>
          <w:b/>
          <w:bCs/>
          <w:color w:val="2E75B6"/>
          <w:sz w:val="26"/>
          <w:szCs w:val="26"/>
        </w:rPr>
        <w:t xml:space="preserve">4. 資料庫設計</w:t>
      </w:r>
    </w:p>
    <w:p>
      <w:pPr>
        <w:pStyle w:val="Heading3"/>
        <w:spacing w:after="80" w:before="240"/>
      </w:pPr>
      <w:r>
        <w:rPr>
          <w:rFonts w:ascii="微軟正黑體" w:cs="微軟正黑體" w:eastAsia="微軟正黑體" w:hAnsi="微軟正黑體"/>
          <w:b/>
          <w:bCs/>
          <w:sz w:val="22"/>
          <w:szCs w:val="22"/>
        </w:rPr>
        <w:t xml:space="preserve">4.1 資料庫連線設定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800"/>
        <w:gridCol w:w="2426"/>
      </w:tblGrid>
      <w:tr>
        <w:trPr>
          <w:tblHeader/>
        </w:trPr>
        <w:tc>
          <w:tcPr>
            <w:tcW w:type="dxa" w:w="2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r>
              <w:rPr>
                <w:rFonts w:ascii="微軟正黑體" w:cs="微軟正黑體" w:eastAsia="微軟正黑體" w:hAnsi="微軟正黑體"/>
                <w:b/>
                <w:bCs/>
                <w:color w:val="1F4E79"/>
                <w:sz w:val="20"/>
                <w:szCs w:val="20"/>
              </w:rPr>
              <w:t xml:space="preserve">Executor 名稱</w:t>
            </w:r>
          </w:p>
        </w:tc>
        <w:tc>
          <w:tcPr>
            <w:tcW w:type="dxa" w:w="3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r>
              <w:rPr>
                <w:rFonts w:ascii="微軟正黑體" w:cs="微軟正黑體" w:eastAsia="微軟正黑體" w:hAnsi="微軟正黑體"/>
                <w:b/>
                <w:bCs/>
                <w:color w:val="1F4E79"/>
                <w:sz w:val="20"/>
                <w:szCs w:val="20"/>
              </w:rPr>
              <w:t xml:space="preserve">用途</w:t>
            </w:r>
          </w:p>
        </w:tc>
        <w:tc>
          <w:tcPr>
            <w:tcW w:type="dxa" w:w="242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r>
              <w:rPr>
                <w:rFonts w:ascii="微軟正黑體" w:cs="微軟正黑體" w:eastAsia="微軟正黑體" w:hAnsi="微軟正黑體"/>
                <w:b/>
                <w:bCs/>
                <w:color w:val="1F4E79"/>
                <w:sz w:val="20"/>
                <w:szCs w:val="20"/>
              </w:rPr>
              <w:t xml:space="preserve">資料庫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default</w:t>
            </w:r>
          </w:p>
        </w:tc>
        <w:tc>
          <w:tcPr>
            <w:tcW w:type="dxa" w:w="3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ECP 主資料庫（讀寫）</w:t>
            </w:r>
          </w:p>
        </w:tc>
        <w:tc>
          <w:tcPr>
            <w:tcW w:type="dxa" w:w="2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ECP DB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km</w:t>
            </w:r>
          </w:p>
        </w:tc>
        <w:tc>
          <w:tcPr>
            <w:tcW w:type="dxa" w:w="3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KM 人事系統（唯讀）</w:t>
            </w:r>
          </w:p>
        </w:tc>
        <w:tc>
          <w:tcPr>
            <w:tcW w:type="dxa" w:w="2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KM DB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（預設）</w:t>
            </w:r>
          </w:p>
        </w:tc>
        <w:tc>
          <w:tcPr>
            <w:tcW w:type="dxa" w:w="3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客服聊天資料庫（唯讀）</w:t>
            </w:r>
          </w:p>
        </w:tc>
        <w:tc>
          <w:tcPr>
            <w:tcW w:type="dxa" w:w="2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Chat DB</w:t>
            </w:r>
          </w:p>
        </w:tc>
      </w:tr>
    </w:tbl>
    <w:p>
      <w:pPr>
        <w:pStyle w:val="Heading3"/>
        <w:spacing w:after="80" w:before="240"/>
      </w:pPr>
      <w:r>
        <w:rPr>
          <w:rFonts w:ascii="微軟正黑體" w:cs="微軟正黑體" w:eastAsia="微軟正黑體" w:hAnsi="微軟正黑體"/>
          <w:b/>
          <w:bCs/>
          <w:sz w:val="22"/>
          <w:szCs w:val="22"/>
        </w:rPr>
        <w:t xml:space="preserve">4.2 自訂資料表</w:t>
      </w:r>
    </w:p>
    <w:p>
      <w:pPr>
        <w:spacing w:after="60" w:before="60"/>
      </w:pPr>
      <w:r>
        <w:rPr>
          <w:rFonts w:ascii="微軟正黑體" w:cs="微軟正黑體" w:eastAsia="微軟正黑體" w:hAnsi="微軟正黑體"/>
          <w:b/>
          <w:bCs/>
          <w:sz w:val="20"/>
          <w:szCs w:val="20"/>
        </w:rPr>
        <w:t xml:space="preserve">TpCUSmLoginLog — SSO 登入稽核：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800"/>
        <w:gridCol w:w="4426"/>
      </w:tblGrid>
      <w:tr>
        <w:trPr>
          <w:tblHeader/>
        </w:trPr>
        <w:tc>
          <w:tcPr>
            <w:tcW w:type="dxa" w:w="2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r>
              <w:rPr>
                <w:rFonts w:ascii="微軟正黑體" w:cs="微軟正黑體" w:eastAsia="微軟正黑體" w:hAnsi="微軟正黑體"/>
                <w:b/>
                <w:bCs/>
                <w:color w:val="1F4E79"/>
                <w:sz w:val="20"/>
                <w:szCs w:val="20"/>
              </w:rPr>
              <w:t xml:space="preserve">欄位</w:t>
            </w:r>
          </w:p>
        </w:tc>
        <w:tc>
          <w:tcPr>
            <w:tcW w:type="dxa" w:w="1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r>
              <w:rPr>
                <w:rFonts w:ascii="微軟正黑體" w:cs="微軟正黑體" w:eastAsia="微軟正黑體" w:hAnsi="微軟正黑體"/>
                <w:b/>
                <w:bCs/>
                <w:color w:val="1F4E79"/>
                <w:sz w:val="20"/>
                <w:szCs w:val="20"/>
              </w:rPr>
              <w:t xml:space="preserve">型別</w:t>
            </w:r>
          </w:p>
        </w:tc>
        <w:tc>
          <w:tcPr>
            <w:tcW w:type="dxa" w:w="442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r>
              <w:rPr>
                <w:rFonts w:ascii="微軟正黑體" w:cs="微軟正黑體" w:eastAsia="微軟正黑體" w:hAnsi="微軟正黑體"/>
                <w:b/>
                <w:bCs/>
                <w:color w:val="1F4E79"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FId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UUID PK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主鍵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U_SessionID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VARCHAR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ECP Session ID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U_token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VARCHAR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SSO Token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FName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VARCHAR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登入狀態（LoginStatus）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FCreateUserId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UUID FK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登入使用者 ID (TsUser)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FCreateDepartmentId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UUID FK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所屬部門 ID (TsDepartment)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U_CreateUserName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VARCHAR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登入使用者名稱（冗餘備份）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U_CreateDepartment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VARCHAR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部門名稱（冗餘備份）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FCreateTime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DATETIME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建立時間（需建索引，5分鐘查詢關鍵欄位）</w:t>
            </w:r>
          </w:p>
        </w:tc>
      </w:tr>
    </w:tbl>
    <w:p>
      <w:pPr>
        <w:spacing w:after="80" w:before="80"/>
        <w:ind w:left="360"/>
      </w:pPr>
      <w:r>
        <w:rPr>
          <w:rFonts w:ascii="微軟正黑體" w:cs="微軟正黑體" w:eastAsia="微軟正黑體" w:hAnsi="微軟正黑體"/>
          <w:b/>
          <w:bCs/>
          <w:color w:val="C55A11"/>
          <w:sz w:val="19"/>
          <w:szCs w:val="19"/>
        </w:rPr>
        <w:t xml:space="preserve">⚠ 注意：</w:t>
      </w:r>
      <w:r>
        <w:rPr>
          <w:rFonts w:ascii="微軟正黑體" w:cs="微軟正黑體" w:eastAsia="微軟正黑體" w:hAnsi="微軟正黑體"/>
          <w:color w:val="C55A11"/>
          <w:sz w:val="19"/>
          <w:szCs w:val="19"/>
        </w:rPr>
        <w:t xml:space="preserve">FCreateTime 需建立索引，getSSOToken() 的 5 分鐘範圍查詢依賴此欄位效能。</w:t>
      </w:r>
    </w:p>
    <w:p>
      <w:pPr>
        <w:spacing w:before="160"/>
      </w:pPr>
    </w:p>
    <w:p>
      <w:pPr>
        <w:spacing w:after="60" w:before="60"/>
      </w:pPr>
      <w:r>
        <w:rPr>
          <w:rFonts w:ascii="微軟正黑體" w:cs="微軟正黑體" w:eastAsia="微軟正黑體" w:hAnsi="微軟正黑體"/>
          <w:b/>
          <w:bCs/>
          <w:sz w:val="20"/>
          <w:szCs w:val="20"/>
        </w:rPr>
        <w:t xml:space="preserve">TpCUSmChatMessageSummary — 聊天摘要：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800"/>
        <w:gridCol w:w="4426"/>
      </w:tblGrid>
      <w:tr>
        <w:trPr>
          <w:tblHeader/>
        </w:trPr>
        <w:tc>
          <w:tcPr>
            <w:tcW w:type="dxa" w:w="2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r>
              <w:rPr>
                <w:rFonts w:ascii="微軟正黑體" w:cs="微軟正黑體" w:eastAsia="微軟正黑體" w:hAnsi="微軟正黑體"/>
                <w:b/>
                <w:bCs/>
                <w:color w:val="1F4E79"/>
                <w:sz w:val="20"/>
                <w:szCs w:val="20"/>
              </w:rPr>
              <w:t xml:space="preserve">欄位</w:t>
            </w:r>
          </w:p>
        </w:tc>
        <w:tc>
          <w:tcPr>
            <w:tcW w:type="dxa" w:w="1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r>
              <w:rPr>
                <w:rFonts w:ascii="微軟正黑體" w:cs="微軟正黑體" w:eastAsia="微軟正黑體" w:hAnsi="微軟正黑體"/>
                <w:b/>
                <w:bCs/>
                <w:color w:val="1F4E79"/>
                <w:sz w:val="20"/>
                <w:szCs w:val="20"/>
              </w:rPr>
              <w:t xml:space="preserve">型別</w:t>
            </w:r>
          </w:p>
        </w:tc>
        <w:tc>
          <w:tcPr>
            <w:tcW w:type="dxa" w:w="442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r>
              <w:rPr>
                <w:rFonts w:ascii="微軟正黑體" w:cs="微軟正黑體" w:eastAsia="微軟正黑體" w:hAnsi="微軟正黑體"/>
                <w:b/>
                <w:bCs/>
                <w:color w:val="1F4E79"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FId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UUID PK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主鍵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U_AgentId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VARCHAR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客服坐席 ID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U_AgentName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VARCHAR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客服坐席姓名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U_ChatId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VARCHAR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聊天室 ID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U_Content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TEXT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訊息內容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U_RoomId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VARCHAR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聊天房間 ID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U_SenderId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VARCHAR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發送者 ID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U_SenderName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VARCHAR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發送者姓名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U_SendTime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DATETIME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發送時間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U_Type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VARCHAR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訊息類型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U_UserId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VARCHAR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客戶使用者 ID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U_UserName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VARCHAR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客戶使用者姓名</w:t>
            </w:r>
          </w:p>
        </w:tc>
      </w:tr>
    </w:tbl>
    <w:p>
      <w:pPr>
        <w:pStyle w:val="Heading3"/>
        <w:spacing w:after="80" w:before="240"/>
      </w:pPr>
      <w:r>
        <w:rPr>
          <w:rFonts w:ascii="微軟正黑體" w:cs="微軟正黑體" w:eastAsia="微軟正黑體" w:hAnsi="微軟正黑體"/>
          <w:b/>
          <w:bCs/>
          <w:sz w:val="22"/>
          <w:szCs w:val="22"/>
        </w:rPr>
        <w:t xml:space="preserve">4.3 ECP 平台核心資料表（唯讀參考）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r>
              <w:rPr>
                <w:rFonts w:ascii="微軟正黑體" w:cs="微軟正黑體" w:eastAsia="微軟正黑體" w:hAnsi="微軟正黑體"/>
                <w:b/>
                <w:bCs/>
                <w:color w:val="1F4E79"/>
                <w:sz w:val="20"/>
                <w:szCs w:val="20"/>
              </w:rPr>
              <w:t xml:space="preserve">資料表</w:t>
            </w:r>
          </w:p>
        </w:tc>
        <w:tc>
          <w:tcPr>
            <w:tcW w:type="dxa" w:w="602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r>
              <w:rPr>
                <w:rFonts w:ascii="微軟正黑體" w:cs="微軟正黑體" w:eastAsia="微軟正黑體" w:hAnsi="微軟正黑體"/>
                <w:b/>
                <w:bCs/>
                <w:color w:val="1F4E79"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TsUser</w:t>
            </w:r>
          </w:p>
        </w:tc>
        <w:tc>
          <w:tcPr>
            <w:tcW w:type="dxa" w:w="6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ECP 使用者主表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TsDepartment</w:t>
            </w:r>
          </w:p>
        </w:tc>
        <w:tc>
          <w:tcPr>
            <w:tcW w:type="dxa" w:w="6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部門樹狀結構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TsAccount</w:t>
            </w:r>
          </w:p>
        </w:tc>
        <w:tc>
          <w:tcPr>
            <w:tcW w:type="dxa" w:w="6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登入帳號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TsAccountIdentity</w:t>
            </w:r>
          </w:p>
        </w:tc>
        <w:tc>
          <w:tcPr>
            <w:tcW w:type="dxa" w:w="6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帳號 ↔ 人員對應（支援多身分）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TsRole</w:t>
            </w:r>
          </w:p>
        </w:tc>
        <w:tc>
          <w:tcPr>
            <w:tcW w:type="dxa" w:w="6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角色定義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TsRoleUser</w:t>
            </w:r>
          </w:p>
        </w:tc>
        <w:tc>
          <w:tcPr>
            <w:tcW w:type="dxa" w:w="6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角色指派關係</w:t>
            </w:r>
          </w:p>
        </w:tc>
      </w:tr>
    </w:tbl>
    <w:p>
      <w:pPr>
        <w:spacing w:before="240"/>
      </w:pPr>
    </w:p>
    <w:p>
      <w:pPr>
        <w:pStyle w:val="Heading2"/>
        <w:spacing w:after="120" w:before="320"/>
      </w:pPr>
      <w:r>
        <w:rPr>
          <w:rFonts w:ascii="微軟正黑體" w:cs="微軟正黑體" w:eastAsia="微軟正黑體" w:hAnsi="微軟正黑體"/>
          <w:b/>
          <w:bCs/>
          <w:color w:val="2E75B6"/>
          <w:sz w:val="26"/>
          <w:szCs w:val="26"/>
        </w:rPr>
        <w:t xml:space="preserve">5. API 規格</w:t>
      </w:r>
    </w:p>
    <w:p>
      <w:pPr>
        <w:pStyle w:val="Heading3"/>
        <w:spacing w:after="80" w:before="240"/>
      </w:pPr>
      <w:r>
        <w:rPr>
          <w:rFonts w:ascii="微軟正黑體" w:cs="微軟正黑體" w:eastAsia="微軟正黑體" w:hAnsi="微軟正黑體"/>
          <w:b/>
          <w:bCs/>
          <w:sz w:val="22"/>
          <w:szCs w:val="22"/>
        </w:rPr>
        <w:t xml:space="preserve">5.1 Active Endpoints（JSP）</w:t>
      </w:r>
    </w:p>
    <w:p>
      <w:pPr>
        <w:spacing w:after="60" w:before="60"/>
      </w:pPr>
      <w:r>
        <w:rPr>
          <w:rFonts w:ascii="微軟正黑體" w:cs="微軟正黑體" w:eastAsia="微軟正黑體" w:hAnsi="微軟正黑體"/>
          <w:b/>
          <w:bCs/>
          <w:sz w:val="20"/>
          <w:szCs w:val="20"/>
        </w:rPr>
        <w:t xml:space="preserve">端點一：POST /sso/ecp/custom/login/login.jsp — 帳密登入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tblHeader/>
        </w:trPr>
        <w:tc>
          <w:tcPr>
            <w:tcW w:type="dxa" w:w="2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r>
              <w:rPr>
                <w:rFonts w:ascii="微軟正黑體" w:cs="微軟正黑體" w:eastAsia="微軟正黑體" w:hAnsi="微軟正黑體"/>
                <w:b/>
                <w:bCs/>
                <w:color w:val="1F4E79"/>
                <w:sz w:val="20"/>
                <w:szCs w:val="20"/>
              </w:rPr>
              <w:t xml:space="preserve">項目</w:t>
            </w:r>
          </w:p>
        </w:tc>
        <w:tc>
          <w:tcPr>
            <w:tcW w:type="dxa" w:w="622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r>
              <w:rPr>
                <w:rFonts w:ascii="微軟正黑體" w:cs="微軟正黑體" w:eastAsia="微軟正黑體" w:hAnsi="微軟正黑體"/>
                <w:b/>
                <w:bCs/>
                <w:color w:val="1F4E79"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Request Header</w:t>
            </w:r>
          </w:p>
        </w:tc>
        <w:tc>
          <w:tcPr>
            <w:tcW w:type="dxa" w:w="6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Content-Type: application/json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Request Body</w:t>
            </w:r>
          </w:p>
        </w:tc>
        <w:tc>
          <w:tcPr>
            <w:tcW w:type="dxa" w:w="6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{ "loginName": "string", "password": "string" }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Success Response</w:t>
            </w:r>
          </w:p>
        </w:tc>
        <w:tc>
          <w:tcPr>
            <w:tcW w:type="dxa" w:w="6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{ "success": true }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Error Response</w:t>
            </w:r>
          </w:p>
        </w:tc>
        <w:tc>
          <w:tcPr>
            <w:tcW w:type="dxa" w:w="6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{ "success": false, "message": "帳號或密碼錯誤" }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驗證方式</w:t>
            </w:r>
          </w:p>
        </w:tc>
        <w:tc>
          <w:tcPr>
            <w:tcW w:type="dxa" w:w="6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LDAP bind 至 Active Directory</w:t>
            </w:r>
          </w:p>
        </w:tc>
      </w:tr>
    </w:tbl>
    <w:p>
      <w:pPr>
        <w:spacing w:before="160"/>
      </w:pPr>
    </w:p>
    <w:p>
      <w:pPr>
        <w:spacing w:after="60" w:before="60"/>
      </w:pPr>
      <w:r>
        <w:rPr>
          <w:rFonts w:ascii="微軟正黑體" w:cs="微軟正黑體" w:eastAsia="微軟正黑體" w:hAnsi="微軟正黑體"/>
          <w:b/>
          <w:bCs/>
          <w:sz w:val="20"/>
          <w:szCs w:val="20"/>
        </w:rPr>
        <w:t xml:space="preserve">端點二：POST /sso/ecp/custom/login/sso.jsp — SSO Token 驗證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tblHeader/>
        </w:trPr>
        <w:tc>
          <w:tcPr>
            <w:tcW w:type="dxa" w:w="2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r>
              <w:rPr>
                <w:rFonts w:ascii="微軟正黑體" w:cs="微軟正黑體" w:eastAsia="微軟正黑體" w:hAnsi="微軟正黑體"/>
                <w:b/>
                <w:bCs/>
                <w:color w:val="1F4E79"/>
                <w:sz w:val="20"/>
                <w:szCs w:val="20"/>
              </w:rPr>
              <w:t xml:space="preserve">項目</w:t>
            </w:r>
          </w:p>
        </w:tc>
        <w:tc>
          <w:tcPr>
            <w:tcW w:type="dxa" w:w="622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r>
              <w:rPr>
                <w:rFonts w:ascii="微軟正黑體" w:cs="微軟正黑體" w:eastAsia="微軟正黑體" w:hAnsi="微軟正黑體"/>
                <w:b/>
                <w:bCs/>
                <w:color w:val="1F4E79"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Request Body</w:t>
            </w:r>
          </w:p>
        </w:tc>
        <w:tc>
          <w:tcPr>
            <w:tcW w:type="dxa" w:w="6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{ "loginName": "string", "token": "string" }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Success Response</w:t>
            </w:r>
          </w:p>
        </w:tc>
        <w:tc>
          <w:tcPr>
            <w:tcW w:type="dxa" w:w="6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{ "success": true }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Failure Response</w:t>
            </w:r>
          </w:p>
        </w:tc>
        <w:tc>
          <w:tcPr>
            <w:tcW w:type="dxa" w:w="6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{ "success": false }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驗證邏輯</w:t>
            </w:r>
          </w:p>
        </w:tc>
        <w:tc>
          <w:tcPr>
            <w:tcW w:type="dxa" w:w="6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查詢 TpCUSmLoginLog（5分鐘內），失效則 AD fallback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日誌</w:t>
            </w:r>
          </w:p>
        </w:tc>
        <w:tc>
          <w:tcPr>
            <w:tcW w:type="dxa" w:w="6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寫入 sso_auth.log</w:t>
            </w:r>
          </w:p>
        </w:tc>
      </w:tr>
    </w:tbl>
    <w:p>
      <w:pPr>
        <w:pStyle w:val="Heading3"/>
        <w:spacing w:after="80" w:before="240"/>
      </w:pPr>
      <w:r>
        <w:rPr>
          <w:rFonts w:ascii="微軟正黑體" w:cs="微軟正黑體" w:eastAsia="微軟正黑體" w:hAnsi="微軟正黑體"/>
          <w:b/>
          <w:bCs/>
          <w:sz w:val="22"/>
          <w:szCs w:val="22"/>
        </w:rPr>
        <w:t xml:space="preserve">5.2 Disabled Endpoints（暫未啟用）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200"/>
        <w:gridCol w:w="5026"/>
      </w:tblGrid>
      <w:tr>
        <w:trPr>
          <w:tblHeader/>
        </w:trPr>
        <w:tc>
          <w:tcPr>
            <w:tcW w:type="dxa" w:w="2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r>
              <w:rPr>
                <w:rFonts w:ascii="微軟正黑體" w:cs="微軟正黑體" w:eastAsia="微軟正黑體" w:hAnsi="微軟正黑體"/>
                <w:b/>
                <w:bCs/>
                <w:color w:val="1F4E79"/>
                <w:sz w:val="20"/>
                <w:szCs w:val="20"/>
              </w:rPr>
              <w:t xml:space="preserve">Path</w:t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r>
              <w:rPr>
                <w:rFonts w:ascii="微軟正黑體" w:cs="微軟正黑體" w:eastAsia="微軟正黑體" w:hAnsi="微軟正黑體"/>
                <w:b/>
                <w:bCs/>
                <w:color w:val="1F4E79"/>
                <w:sz w:val="20"/>
                <w:szCs w:val="20"/>
              </w:rPr>
              <w:t xml:space="preserve">方法</w:t>
            </w:r>
          </w:p>
        </w:tc>
        <w:tc>
          <w:tcPr>
            <w:tcW w:type="dxa" w:w="502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r>
              <w:rPr>
                <w:rFonts w:ascii="微軟正黑體" w:cs="微軟正黑體" w:eastAsia="微軟正黑體" w:hAnsi="微軟正黑體"/>
                <w:b/>
                <w:bCs/>
                <w:color w:val="1F4E79"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/TCBEcpSSO/EcpSSO</w:t>
            </w:r>
          </w:p>
        </w:tc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POST</w:t>
            </w:r>
          </w:p>
        </w:tc>
        <w:tc>
          <w:tcPr>
            <w:tcW w:type="dxa" w:w="5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doSSO() ECP API 版本（@Api 標註，isTokenRequired=false）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/TCBEcpSSO/SSOToken</w:t>
            </w:r>
          </w:p>
        </w:tc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POST</w:t>
            </w:r>
          </w:p>
        </w:tc>
        <w:tc>
          <w:tcPr>
            <w:tcW w:type="dxa" w:w="5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doSSOToken() ECP API 版本</w:t>
            </w:r>
          </w:p>
        </w:tc>
      </w:tr>
    </w:tbl>
    <w:p>
      <w:pPr>
        <w:spacing w:after="80" w:before="80"/>
        <w:ind w:left="360"/>
      </w:pPr>
      <w:r>
        <w:rPr>
          <w:rFonts w:ascii="微軟正黑體" w:cs="微軟正黑體" w:eastAsia="微軟正黑體" w:hAnsi="微軟正黑體"/>
          <w:b/>
          <w:bCs/>
          <w:color w:val="C55A11"/>
          <w:sz w:val="19"/>
          <w:szCs w:val="19"/>
        </w:rPr>
        <w:t xml:space="preserve">⚠ 注意：</w:t>
      </w:r>
      <w:r>
        <w:rPr>
          <w:rFonts w:ascii="微軟正黑體" w:cs="微軟正黑體" w:eastAsia="微軟正黑體" w:hAnsi="微軟正黑體"/>
          <w:color w:val="C55A11"/>
          <w:sz w:val="19"/>
          <w:szCs w:val="19"/>
        </w:rPr>
        <w:t xml:space="preserve">這些 Endpoint 程式碼已存在但被停用，功能目前由 JSP 直接承擔。</w:t>
      </w:r>
    </w:p>
    <w:p>
      <w:pPr>
        <w:spacing w:before="240"/>
      </w:pPr>
    </w:p>
    <w:p>
      <w:pPr>
        <w:pStyle w:val="Heading2"/>
        <w:spacing w:after="120" w:before="320"/>
      </w:pPr>
      <w:r>
        <w:rPr>
          <w:rFonts w:ascii="微軟正黑體" w:cs="微軟正黑體" w:eastAsia="微軟正黑體" w:hAnsi="微軟正黑體"/>
          <w:b/>
          <w:bCs/>
          <w:color w:val="2E75B6"/>
          <w:sz w:val="26"/>
          <w:szCs w:val="26"/>
        </w:rPr>
        <w:t xml:space="preserve">6. 排程設計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400"/>
        <w:gridCol w:w="1800"/>
        <w:gridCol w:w="1826"/>
      </w:tblGrid>
      <w:tr>
        <w:trPr>
          <w:tblHeader/>
        </w:trPr>
        <w:tc>
          <w:tcPr>
            <w:tcW w:type="dxa" w:w="2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r>
              <w:rPr>
                <w:rFonts w:ascii="微軟正黑體" w:cs="微軟正黑體" w:eastAsia="微軟正黑體" w:hAnsi="微軟正黑體"/>
                <w:b/>
                <w:bCs/>
                <w:color w:val="1F4E79"/>
                <w:sz w:val="20"/>
                <w:szCs w:val="20"/>
              </w:rPr>
              <w:t xml:space="preserve">排程名稱</w:t>
            </w:r>
          </w:p>
        </w:tc>
        <w:tc>
          <w:tcPr>
            <w:tcW w:type="dxa" w:w="3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r>
              <w:rPr>
                <w:rFonts w:ascii="微軟正黑體" w:cs="微軟正黑體" w:eastAsia="微軟正黑體" w:hAnsi="微軟正黑體"/>
                <w:b/>
                <w:bCs/>
                <w:color w:val="1F4E79"/>
                <w:sz w:val="20"/>
                <w:szCs w:val="20"/>
              </w:rPr>
              <w:t xml:space="preserve">Class</w:t>
            </w:r>
          </w:p>
        </w:tc>
        <w:tc>
          <w:tcPr>
            <w:tcW w:type="dxa" w:w="1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r>
              <w:rPr>
                <w:rFonts w:ascii="微軟正黑體" w:cs="微軟正黑體" w:eastAsia="微軟正黑體" w:hAnsi="微軟正黑體"/>
                <w:b/>
                <w:bCs/>
                <w:color w:val="1F4E79"/>
                <w:sz w:val="20"/>
                <w:szCs w:val="20"/>
              </w:rPr>
              <w:t xml:space="preserve">執行時間</w:t>
            </w:r>
          </w:p>
        </w:tc>
        <w:tc>
          <w:tcPr>
            <w:tcW w:type="dxa" w:w="182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r>
              <w:rPr>
                <w:rFonts w:ascii="微軟正黑體" w:cs="微軟正黑體" w:eastAsia="微軟正黑體" w:hAnsi="微軟正黑體"/>
                <w:b/>
                <w:bCs/>
                <w:color w:val="1F4E79"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HR 同步</w:t>
            </w:r>
          </w:p>
        </w:tc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SyncHrDataRountine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每日 02:00</w:t>
            </w:r>
          </w:p>
        </w:tc>
        <w:tc>
          <w:tcPr>
            <w:tcW w:type="dxa" w:w="18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同步人員/部門至 ECP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聊天摘要</w:t>
            </w:r>
          </w:p>
        </w:tc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GetChatMessageSummaryRountine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每日（預設昨日）</w:t>
            </w:r>
          </w:p>
        </w:tc>
        <w:tc>
          <w:tcPr>
            <w:tcW w:type="dxa" w:w="18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彙整前一日聊天記錄</w:t>
            </w:r>
          </w:p>
        </w:tc>
      </w:tr>
    </w:tbl>
    <w:p>
      <w:pPr>
        <w:spacing w:before="120"/>
      </w:pPr>
    </w:p>
    <w:p>
      <w:pPr>
        <w:spacing w:after="60" w:before="60"/>
      </w:pPr>
      <w:r>
        <w:rPr>
          <w:rFonts w:ascii="微軟正黑體" w:cs="微軟正黑體" w:eastAsia="微軟正黑體" w:hAnsi="微軟正黑體"/>
          <w:b/>
          <w:bCs/>
          <w:sz w:val="20"/>
          <w:szCs w:val="20"/>
        </w:rPr>
        <w:t xml:space="preserve">排程約束：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微軟正黑體" w:cs="微軟正黑體" w:eastAsia="微軟正黑體" w:hAnsi="微軟正黑體"/>
          <w:sz w:val="20"/>
          <w:szCs w:val="20"/>
        </w:rPr>
        <w:t xml:space="preserve">HR 同步排定在 04:00 備份作業之前執行，確保備份時資料已是最新狀態。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微軟正黑體" w:cs="微軟正黑體" w:eastAsia="微軟正黑體" w:hAnsi="微軟正黑體"/>
          <w:sz w:val="20"/>
          <w:szCs w:val="20"/>
        </w:rPr>
        <w:t xml:space="preserve">兩個排程不應同時執行，避免資料庫鎖衝突。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微軟正黑體" w:cs="微軟正黑體" w:eastAsia="微軟正黑體" w:hAnsi="微軟正黑體"/>
          <w:sz w:val="20"/>
          <w:szCs w:val="20"/>
        </w:rPr>
        <w:t xml:space="preserve">GetChatMessageSummaryRountine 支援傳入指定日期參數（格式 yyyy-MM-dd）。</w:t>
      </w:r>
    </w:p>
    <w:p>
      <w:pPr>
        <w:spacing w:before="240"/>
      </w:pPr>
    </w:p>
    <w:p>
      <w:pPr>
        <w:pStyle w:val="Heading2"/>
        <w:spacing w:after="120" w:before="320"/>
      </w:pPr>
      <w:r>
        <w:rPr>
          <w:rFonts w:ascii="微軟正黑體" w:cs="微軟正黑體" w:eastAsia="微軟正黑體" w:hAnsi="微軟正黑體"/>
          <w:b/>
          <w:bCs/>
          <w:color w:val="2E75B6"/>
          <w:sz w:val="26"/>
          <w:szCs w:val="26"/>
        </w:rPr>
        <w:t xml:space="preserve">7. 安全設計</w:t>
      </w:r>
    </w:p>
    <w:p>
      <w:pPr>
        <w:pStyle w:val="Heading3"/>
        <w:spacing w:after="80" w:before="240"/>
      </w:pPr>
      <w:r>
        <w:rPr>
          <w:rFonts w:ascii="微軟正黑體" w:cs="微軟正黑體" w:eastAsia="微軟正黑體" w:hAnsi="微軟正黑體"/>
          <w:b/>
          <w:bCs/>
          <w:sz w:val="22"/>
          <w:szCs w:val="22"/>
        </w:rPr>
        <w:t xml:space="preserve">7.1 Token 安全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r>
              <w:rPr>
                <w:rFonts w:ascii="微軟正黑體" w:cs="微軟正黑體" w:eastAsia="微軟正黑體" w:hAnsi="微軟正黑體"/>
                <w:b/>
                <w:bCs/>
                <w:color w:val="1F4E79"/>
                <w:sz w:val="20"/>
                <w:szCs w:val="20"/>
              </w:rPr>
              <w:t xml:space="preserve">機制</w:t>
            </w:r>
          </w:p>
        </w:tc>
        <w:tc>
          <w:tcPr>
            <w:tcW w:type="dxa" w:w="642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r>
              <w:rPr>
                <w:rFonts w:ascii="微軟正黑體" w:cs="微軟正黑體" w:eastAsia="微軟正黑體" w:hAnsi="微軟正黑體"/>
                <w:b/>
                <w:bCs/>
                <w:color w:val="1F4E79"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有效期限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Token 5 分鐘後自動失效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綁定使用者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Token 與 empId 綁定，無法跨使用者使用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Fallback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Token 失效時嘗試 AD 重新驗證，而非直接放行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稽核日誌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所有驗證嘗試（成功/失敗）均寫入 TpCUSmLoginLog 與 sso_auth.log</w:t>
            </w:r>
          </w:p>
        </w:tc>
      </w:tr>
    </w:tbl>
    <w:p>
      <w:pPr>
        <w:pStyle w:val="Heading3"/>
        <w:spacing w:after="80" w:before="240"/>
      </w:pPr>
      <w:r>
        <w:rPr>
          <w:rFonts w:ascii="微軟正黑體" w:cs="微軟正黑體" w:eastAsia="微軟正黑體" w:hAnsi="微軟正黑體"/>
          <w:b/>
          <w:bCs/>
          <w:sz w:val="22"/>
          <w:szCs w:val="22"/>
        </w:rPr>
        <w:t xml:space="preserve">7.2 密碼安全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r>
              <w:rPr>
                <w:rFonts w:ascii="微軟正黑體" w:cs="微軟正黑體" w:eastAsia="微軟正黑體" w:hAnsi="微軟正黑體"/>
                <w:b/>
                <w:bCs/>
                <w:color w:val="1F4E79"/>
                <w:sz w:val="20"/>
                <w:szCs w:val="20"/>
              </w:rPr>
              <w:t xml:space="preserve">項目</w:t>
            </w:r>
          </w:p>
        </w:tc>
        <w:tc>
          <w:tcPr>
            <w:tcW w:type="dxa" w:w="642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r>
              <w:rPr>
                <w:rFonts w:ascii="微軟正黑體" w:cs="微軟正黑體" w:eastAsia="微軟正黑體" w:hAnsi="微軟正黑體"/>
                <w:b/>
                <w:bCs/>
                <w:color w:val="1F4E79"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預設密碼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儲存於 hrsync.properties，以加密格式儲存（ECP 平台加密機制）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AD 驗證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密碼不落地，由 LDAP bind 操作完成驗證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LDAP 連線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建議使用 LDAPS（636 port）加密傳輸</w:t>
            </w:r>
          </w:p>
        </w:tc>
      </w:tr>
    </w:tbl>
    <w:p>
      <w:pPr>
        <w:pStyle w:val="Heading3"/>
        <w:spacing w:after="80" w:before="240"/>
      </w:pPr>
      <w:r>
        <w:rPr>
          <w:rFonts w:ascii="微軟正黑體" w:cs="微軟正黑體" w:eastAsia="微軟正黑體" w:hAnsi="微軟正黑體"/>
          <w:b/>
          <w:bCs/>
          <w:sz w:val="22"/>
          <w:szCs w:val="22"/>
        </w:rPr>
        <w:t xml:space="preserve">7.3 CORS 與資料隔離</w:t>
      </w:r>
    </w:p>
    <w:p>
      <w:pPr>
        <w:spacing w:after="60" w:before="60"/>
      </w:pPr>
      <w:r>
        <w:rPr>
          <w:rFonts w:ascii="微軟正黑體" w:cs="微軟正黑體" w:eastAsia="微軟正黑體" w:hAnsi="微軟正黑體"/>
          <w:sz w:val="20"/>
          <w:szCs w:val="20"/>
        </w:rPr>
        <w:t xml:space="preserve">login.jsp 設有 CORS Header 允許跨域請求，應確認 Access-Control-Allow-Origin 的白名單設定（確認是否限定特定網域而非開放 *）。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微軟正黑體" w:cs="微軟正黑體" w:eastAsia="微軟正黑體" w:hAnsi="微軟正黑體"/>
          <w:sz w:val="20"/>
          <w:szCs w:val="20"/>
        </w:rPr>
        <w:t xml:space="preserve">KM 人事資料庫使用獨立 Executor（km），僅有讀取權限，無法從 ECP 模組寫入 KM 資料庫。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微軟正黑體" w:cs="微軟正黑體" w:eastAsia="微軟正黑體" w:hAnsi="微軟正黑體"/>
          <w:sz w:val="20"/>
          <w:szCs w:val="20"/>
        </w:rPr>
        <w:t xml:space="preserve">聊天資料庫同樣為唯讀存取，確保資料隔離。</w:t>
      </w:r>
    </w:p>
    <w:p>
      <w:pPr>
        <w:spacing w:before="240"/>
      </w:pPr>
    </w:p>
    <w:p>
      <w:pPr>
        <w:pStyle w:val="Heading2"/>
        <w:spacing w:after="120" w:before="320"/>
      </w:pPr>
      <w:r>
        <w:rPr>
          <w:rFonts w:ascii="微軟正黑體" w:cs="微軟正黑體" w:eastAsia="微軟正黑體" w:hAnsi="微軟正黑體"/>
          <w:b/>
          <w:bCs/>
          <w:color w:val="2E75B6"/>
          <w:sz w:val="26"/>
          <w:szCs w:val="26"/>
        </w:rPr>
        <w:t xml:space="preserve">8. 錯誤處理與日誌</w:t>
      </w:r>
    </w:p>
    <w:p>
      <w:pPr>
        <w:pStyle w:val="Heading3"/>
        <w:spacing w:after="80" w:before="240"/>
      </w:pPr>
      <w:r>
        <w:rPr>
          <w:rFonts w:ascii="微軟正黑體" w:cs="微軟正黑體" w:eastAsia="微軟正黑體" w:hAnsi="微軟正黑體"/>
          <w:b/>
          <w:bCs/>
          <w:sz w:val="22"/>
          <w:szCs w:val="22"/>
        </w:rPr>
        <w:t xml:space="preserve">8.1 日誌策略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3826"/>
      </w:tblGrid>
      <w:tr>
        <w:trPr>
          <w:tblHeader/>
        </w:trPr>
        <w:tc>
          <w:tcPr>
            <w:tcW w:type="dxa" w:w="2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r>
              <w:rPr>
                <w:rFonts w:ascii="微軟正黑體" w:cs="微軟正黑體" w:eastAsia="微軟正黑體" w:hAnsi="微軟正黑體"/>
                <w:b/>
                <w:bCs/>
                <w:color w:val="1F4E79"/>
                <w:sz w:val="20"/>
                <w:szCs w:val="20"/>
              </w:rPr>
              <w:t xml:space="preserve">日誌</w:t>
            </w:r>
          </w:p>
        </w:tc>
        <w:tc>
          <w:tcPr>
            <w:tcW w:type="dxa" w:w="2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r>
              <w:rPr>
                <w:rFonts w:ascii="微軟正黑體" w:cs="微軟正黑體" w:eastAsia="微軟正黑體" w:hAnsi="微軟正黑體"/>
                <w:b/>
                <w:bCs/>
                <w:color w:val="1F4E79"/>
                <w:sz w:val="20"/>
                <w:szCs w:val="20"/>
              </w:rPr>
              <w:t xml:space="preserve">位置</w:t>
            </w:r>
          </w:p>
        </w:tc>
        <w:tc>
          <w:tcPr>
            <w:tcW w:type="dxa" w:w="382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r>
              <w:rPr>
                <w:rFonts w:ascii="微軟正黑體" w:cs="微軟正黑體" w:eastAsia="微軟正黑體" w:hAnsi="微軟正黑體"/>
                <w:b/>
                <w:bCs/>
                <w:color w:val="1F4E79"/>
                <w:sz w:val="20"/>
                <w:szCs w:val="20"/>
              </w:rPr>
              <w:t xml:space="preserve">內容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sso_auth.log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應用伺服器日誌目錄</w:t>
            </w:r>
          </w:p>
        </w:tc>
        <w:tc>
          <w:tcPr>
            <w:tcW w:type="dxa" w:w="38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SSO Token 驗證結果、來源 IP、時間戳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SLF4J / Log4j2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ECP 標準日誌</w:t>
            </w:r>
          </w:p>
        </w:tc>
        <w:tc>
          <w:tcPr>
            <w:tcW w:type="dxa" w:w="38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HR 同步執行結果（新增 N 筆、更新 M 筆）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JSP 標準輸出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伺服器 stdout</w:t>
            </w:r>
          </w:p>
        </w:tc>
        <w:tc>
          <w:tcPr>
            <w:tcW w:type="dxa" w:w="38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登入請求的時間戳、IP、使用者名稱</w:t>
            </w:r>
          </w:p>
        </w:tc>
      </w:tr>
    </w:tbl>
    <w:p>
      <w:pPr>
        <w:pStyle w:val="Heading3"/>
        <w:spacing w:after="80" w:before="240"/>
      </w:pPr>
      <w:r>
        <w:rPr>
          <w:rFonts w:ascii="微軟正黑體" w:cs="微軟正黑體" w:eastAsia="微軟正黑體" w:hAnsi="微軟正黑體"/>
          <w:b/>
          <w:bCs/>
          <w:sz w:val="22"/>
          <w:szCs w:val="22"/>
        </w:rPr>
        <w:t xml:space="preserve">8.2 HR 同步錯誤處理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r>
              <w:rPr>
                <w:rFonts w:ascii="微軟正黑體" w:cs="微軟正黑體" w:eastAsia="微軟正黑體" w:hAnsi="微軟正黑體"/>
                <w:b/>
                <w:bCs/>
                <w:color w:val="1F4E79"/>
                <w:sz w:val="20"/>
                <w:szCs w:val="20"/>
              </w:rPr>
              <w:t xml:space="preserve">情境</w:t>
            </w:r>
          </w:p>
        </w:tc>
        <w:tc>
          <w:tcPr>
            <w:tcW w:type="dxa" w:w="582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r>
              <w:rPr>
                <w:rFonts w:ascii="微軟正黑體" w:cs="微軟正黑體" w:eastAsia="微軟正黑體" w:hAnsi="微軟正黑體"/>
                <w:b/>
                <w:bCs/>
                <w:color w:val="1F4E79"/>
                <w:sz w:val="20"/>
                <w:szCs w:val="20"/>
              </w:rPr>
              <w:t xml:space="preserve">處理方式</w:t>
            </w:r>
          </w:p>
        </w:tc>
      </w:tr>
      <w:tr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KM DB 連線失敗</w:t>
            </w:r>
          </w:p>
        </w:tc>
        <w:tc>
          <w:tcPr>
            <w:tcW w:type="dxa" w:w="58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拋出例外，本次同步中止，記錄 ERROR log</w:t>
            </w:r>
          </w:p>
        </w:tc>
      </w:tr>
      <w:tr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部門父節點不存在</w:t>
            </w:r>
          </w:p>
        </w:tc>
        <w:tc>
          <w:tcPr>
            <w:tcW w:type="dxa" w:w="58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拓撲排序保證父節點先建立，若仍失敗則跳過並記錄警告</w:t>
            </w:r>
          </w:p>
        </w:tc>
      </w:tr>
      <w:tr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使用者資料衝突</w:t>
            </w:r>
          </w:p>
        </w:tc>
        <w:tc>
          <w:tcPr>
            <w:tcW w:type="dxa" w:w="58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以 loginName 為唯一鍵，EXISTS 判斷後做 INSERT 或 UPDATE</w:t>
            </w:r>
          </w:p>
        </w:tc>
      </w:tr>
      <w:tr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角色指派失敗</w:t>
            </w:r>
          </w:p>
        </w:tc>
        <w:tc>
          <w:tcPr>
            <w:tcW w:type="dxa" w:w="58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記錄警告，不中止整體同步流程</w:t>
            </w:r>
          </w:p>
        </w:tc>
      </w:tr>
    </w:tbl>
    <w:p>
      <w:pPr>
        <w:pStyle w:val="Heading3"/>
        <w:spacing w:after="80" w:before="240"/>
      </w:pPr>
      <w:r>
        <w:rPr>
          <w:rFonts w:ascii="微軟正黑體" w:cs="微軟正黑體" w:eastAsia="微軟正黑體" w:hAnsi="微軟正黑體"/>
          <w:b/>
          <w:bCs/>
          <w:sz w:val="22"/>
          <w:szCs w:val="22"/>
        </w:rPr>
        <w:t xml:space="preserve">8.3 聊天摘要錯誤處理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r>
              <w:rPr>
                <w:rFonts w:ascii="微軟正黑體" w:cs="微軟正黑體" w:eastAsia="微軟正黑體" w:hAnsi="微軟正黑體"/>
                <w:b/>
                <w:bCs/>
                <w:color w:val="1F4E79"/>
                <w:sz w:val="20"/>
                <w:szCs w:val="20"/>
              </w:rPr>
              <w:t xml:space="preserve">情境</w:t>
            </w:r>
          </w:p>
        </w:tc>
        <w:tc>
          <w:tcPr>
            <w:tcW w:type="dxa" w:w="582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r>
              <w:rPr>
                <w:rFonts w:ascii="微軟正黑體" w:cs="微軟正黑體" w:eastAsia="微軟正黑體" w:hAnsi="微軟正黑體"/>
                <w:b/>
                <w:bCs/>
                <w:color w:val="1F4E79"/>
                <w:sz w:val="20"/>
                <w:szCs w:val="20"/>
              </w:rPr>
              <w:t xml:space="preserve">處理方式</w:t>
            </w:r>
          </w:p>
        </w:tc>
      </w:tr>
      <w:tr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無聊天記錄</w:t>
            </w:r>
          </w:p>
        </w:tc>
        <w:tc>
          <w:tcPr>
            <w:tcW w:type="dxa" w:w="58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返回空集合，不執行 INSERT，記錄 INFO log</w:t>
            </w:r>
          </w:p>
        </w:tc>
      </w:tr>
      <w:tr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資料重複插入</w:t>
            </w:r>
          </w:p>
        </w:tc>
        <w:tc>
          <w:tcPr>
            <w:tcW w:type="dxa" w:w="58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以 FId UUID 為主鍵，重跑時若 FId 重複會拋 PK 違反例外</w:t>
            </w:r>
          </w:p>
        </w:tc>
      </w:tr>
    </w:tbl>
    <w:p>
      <w:pPr>
        <w:spacing w:after="80" w:before="80"/>
        <w:ind w:left="360"/>
      </w:pPr>
      <w:r>
        <w:rPr>
          <w:rFonts w:ascii="微軟正黑體" w:cs="微軟正黑體" w:eastAsia="微軟正黑體" w:hAnsi="微軟正黑體"/>
          <w:b/>
          <w:bCs/>
          <w:color w:val="C55A11"/>
          <w:sz w:val="19"/>
          <w:szCs w:val="19"/>
        </w:rPr>
        <w:t xml:space="preserve">⚠ 注意：</w:t>
      </w:r>
      <w:r>
        <w:rPr>
          <w:rFonts w:ascii="微軟正黑體" w:cs="微軟正黑體" w:eastAsia="微軟正黑體" w:hAnsi="微軟正黑體"/>
          <w:color w:val="C55A11"/>
          <w:sz w:val="19"/>
          <w:szCs w:val="19"/>
        </w:rPr>
        <w:t xml:space="preserve">聊天摘要模組目前缺乏冪等設計，若 Timer 重複執行可能造成重複資料。建議加入執行前先刪除當日資料的機制（DELETE + INSERT）或改用 UPSERT。</w:t>
      </w:r>
    </w:p>
    <w:p>
      <w:pPr>
        <w:spacing w:before="240"/>
      </w:pPr>
    </w:p>
    <w:p>
      <w:pPr>
        <w:pStyle w:val="Heading2"/>
        <w:spacing w:after="120" w:before="320"/>
      </w:pPr>
      <w:r>
        <w:rPr>
          <w:rFonts w:ascii="微軟正黑體" w:cs="微軟正黑體" w:eastAsia="微軟正黑體" w:hAnsi="微軟正黑體"/>
          <w:b/>
          <w:bCs/>
          <w:color w:val="2E75B6"/>
          <w:sz w:val="26"/>
          <w:szCs w:val="26"/>
        </w:rPr>
        <w:t xml:space="preserve">9. 部署與設定</w:t>
      </w:r>
    </w:p>
    <w:p>
      <w:pPr>
        <w:pStyle w:val="Heading3"/>
        <w:spacing w:after="80" w:before="240"/>
      </w:pPr>
      <w:r>
        <w:rPr>
          <w:rFonts w:ascii="微軟正黑體" w:cs="微軟正黑體" w:eastAsia="微軟正黑體" w:hAnsi="微軟正黑體"/>
          <w:b/>
          <w:bCs/>
          <w:sz w:val="22"/>
          <w:szCs w:val="22"/>
        </w:rPr>
        <w:t xml:space="preserve">9.1 部署步驟</w:t>
      </w:r>
    </w:p>
    <w:p>
      <w:pPr>
        <w:shd w:fill="F2F2F2" w:val="clear"/>
        <w:spacing w:after="20" w:before="2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1. 編譯 ecpsso      → 產生 ecpsso.jar</w:t>
      </w:r>
    </w:p>
    <w:p>
      <w:pPr>
        <w:shd w:fill="F2F2F2" w:val="clear"/>
        <w:spacing w:after="20" w:before="2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2. 編譯 waterHrSync → 產生 waterHrSync.jar</w:t>
      </w:r>
    </w:p>
    <w:p>
      <w:pPr>
        <w:shd w:fill="F2F2F2" w:val="clear"/>
        <w:spacing w:after="20" w:before="2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3. 將 JAR 複製至 waterCusSSO/WEB-INF/lib/</w:t>
      </w:r>
    </w:p>
    <w:p>
      <w:pPr>
        <w:shd w:fill="F2F2F2" w:val="clear"/>
        <w:spacing w:after="20" w:before="2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4. 打包 waterCusSSO → 產生 waterCusSSO.war</w:t>
      </w:r>
    </w:p>
    <w:p>
      <w:pPr>
        <w:shd w:fill="F2F2F2" w:val="clear"/>
        <w:spacing w:after="20" w:before="2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5. 部署 WAR 至 JBoss/WildFly</w:t>
      </w:r>
    </w:p>
    <w:p>
      <w:pPr>
        <w:shd w:fill="F2F2F2" w:val="clear"/>
        <w:spacing w:after="20" w:before="2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6. 在 ECP 後台設定 Timer Routine（HR sync 02:00、Chat summary 每日）</w:t>
      </w:r>
    </w:p>
    <w:p>
      <w:pPr>
        <w:pStyle w:val="Heading3"/>
        <w:spacing w:after="80" w:before="240"/>
      </w:pPr>
      <w:r>
        <w:rPr>
          <w:rFonts w:ascii="微軟正黑體" w:cs="微軟正黑體" w:eastAsia="微軟正黑體" w:hAnsi="微軟正黑體"/>
          <w:b/>
          <w:bCs/>
          <w:sz w:val="22"/>
          <w:szCs w:val="22"/>
        </w:rPr>
        <w:t xml:space="preserve">9.2 hrsync.properties 設定</w:t>
      </w:r>
    </w:p>
    <w:p>
      <w:pPr>
        <w:shd w:fill="F2F2F2" w:val="clear"/>
        <w:spacing w:after="20" w:before="2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# TsAccountIdentity 使用的身分類型 UUID（請勿任意修改）</w:t>
      </w:r>
    </w:p>
    <w:p>
      <w:pPr>
        <w:shd w:fill="F2F2F2" w:val="clear"/>
        <w:spacing w:after="20" w:before="2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accountIdentityTypeId=564cf69e-76d6-4baf-b584-6e04c2911dae</w:t>
      </w:r>
    </w:p>
    <w:p>
      <w:pPr>
        <w:shd w:fill="F2F2F2" w:val="clear"/>
        <w:spacing w:after="20" w:before="2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shd w:fill="F2F2F2" w:val="clear"/>
        <w:spacing w:after="20" w:before="2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# 新建帳號的預設密碼（ECP 加密格式）</w:t>
      </w:r>
    </w:p>
    <w:p>
      <w:pPr>
        <w:shd w:fill="F2F2F2" w:val="clear"/>
        <w:spacing w:after="20" w:before="2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accountDefaultPassword=&lt;encrypted&gt;</w:t>
      </w:r>
    </w:p>
    <w:p>
      <w:pPr>
        <w:shd w:fill="F2F2F2" w:val="clear"/>
        <w:spacing w:after="20" w:before="2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shd w:fill="F2F2F2" w:val="clear"/>
        <w:spacing w:after="20" w:before="2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# ECP 部門樹根節點 UUID</w:t>
      </w:r>
    </w:p>
    <w:p>
      <w:pPr>
        <w:shd w:fill="F2F2F2" w:val="clear"/>
        <w:spacing w:after="20" w:before="2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TsDepartmentRootFId=00000000-0000-0000-1001-000000000001</w:t>
      </w:r>
    </w:p>
    <w:p>
      <w:pPr>
        <w:pStyle w:val="Heading3"/>
        <w:spacing w:after="80" w:before="240"/>
      </w:pPr>
      <w:r>
        <w:rPr>
          <w:rFonts w:ascii="微軟正黑體" w:cs="微軟正黑體" w:eastAsia="微軟正黑體" w:hAnsi="微軟正黑體"/>
          <w:b/>
          <w:bCs/>
          <w:sz w:val="22"/>
          <w:szCs w:val="22"/>
        </w:rPr>
        <w:t xml:space="preserve">9.3 資料庫 Executor 設定（ECP 後台）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200"/>
        <w:gridCol w:w="2426"/>
      </w:tblGrid>
      <w:tr>
        <w:trPr>
          <w:tblHeader/>
        </w:trPr>
        <w:tc>
          <w:tcPr>
            <w:tcW w:type="dxa" w:w="2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r>
              <w:rPr>
                <w:rFonts w:ascii="微軟正黑體" w:cs="微軟正黑體" w:eastAsia="微軟正黑體" w:hAnsi="微軟正黑體"/>
                <w:b/>
                <w:bCs/>
                <w:color w:val="1F4E79"/>
                <w:sz w:val="20"/>
                <w:szCs w:val="20"/>
              </w:rPr>
              <w:t xml:space="preserve">Executor</w:t>
            </w:r>
          </w:p>
        </w:tc>
        <w:tc>
          <w:tcPr>
            <w:tcW w:type="dxa" w:w="4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r>
              <w:rPr>
                <w:rFonts w:ascii="微軟正黑體" w:cs="微軟正黑體" w:eastAsia="微軟正黑體" w:hAnsi="微軟正黑體"/>
                <w:b/>
                <w:bCs/>
                <w:color w:val="1F4E79"/>
                <w:sz w:val="20"/>
                <w:szCs w:val="20"/>
              </w:rPr>
              <w:t xml:space="preserve">對應資料庫</w:t>
            </w:r>
          </w:p>
        </w:tc>
        <w:tc>
          <w:tcPr>
            <w:tcW w:type="dxa" w:w="242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r>
              <w:rPr>
                <w:rFonts w:ascii="微軟正黑體" w:cs="微軟正黑體" w:eastAsia="微軟正黑體" w:hAnsi="微軟正黑體"/>
                <w:b/>
                <w:bCs/>
                <w:color w:val="1F4E79"/>
                <w:sz w:val="20"/>
                <w:szCs w:val="20"/>
              </w:rPr>
              <w:t xml:space="preserve">備註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default</w:t>
            </w:r>
          </w:p>
        </w:tc>
        <w:tc>
          <w:tcPr>
            <w:tcW w:type="dxa" w:w="4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ECP 主資料庫</w:t>
            </w:r>
          </w:p>
        </w:tc>
        <w:tc>
          <w:tcPr>
            <w:tcW w:type="dxa" w:w="2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讀寫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km</w:t>
            </w:r>
          </w:p>
        </w:tc>
        <w:tc>
          <w:tcPr>
            <w:tcW w:type="dxa" w:w="4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KM 人事資料庫</w:t>
            </w:r>
          </w:p>
        </w:tc>
        <w:tc>
          <w:tcPr>
            <w:tcW w:type="dxa" w:w="2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唯讀</w:t>
            </w:r>
          </w:p>
        </w:tc>
      </w:tr>
    </w:tbl>
    <w:p>
      <w:pPr>
        <w:pStyle w:val="Heading3"/>
        <w:spacing w:after="80" w:before="240"/>
      </w:pPr>
      <w:r>
        <w:rPr>
          <w:rFonts w:ascii="微軟正黑體" w:cs="微軟正黑體" w:eastAsia="微軟正黑體" w:hAnsi="微軟正黑體"/>
          <w:b/>
          <w:bCs/>
          <w:sz w:val="22"/>
          <w:szCs w:val="22"/>
        </w:rPr>
        <w:t xml:space="preserve">9.4 環境需求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r>
              <w:rPr>
                <w:rFonts w:ascii="微軟正黑體" w:cs="微軟正黑體" w:eastAsia="微軟正黑體" w:hAnsi="微軟正黑體"/>
                <w:b/>
                <w:bCs/>
                <w:color w:val="1F4E79"/>
                <w:sz w:val="20"/>
                <w:szCs w:val="20"/>
              </w:rPr>
              <w:t xml:space="preserve">項目</w:t>
            </w:r>
          </w:p>
        </w:tc>
        <w:tc>
          <w:tcPr>
            <w:tcW w:type="dxa" w:w="602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r>
              <w:rPr>
                <w:rFonts w:ascii="微軟正黑體" w:cs="微軟正黑體" w:eastAsia="微軟正黑體" w:hAnsi="微軟正黑體"/>
                <w:b/>
                <w:bCs/>
                <w:color w:val="1F4E79"/>
                <w:sz w:val="20"/>
                <w:szCs w:val="20"/>
              </w:rPr>
              <w:t xml:space="preserve">需求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Java</w:t>
            </w:r>
          </w:p>
        </w:tc>
        <w:tc>
          <w:tcPr>
            <w:tcW w:type="dxa" w:w="6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17+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JBoss/WildFly</w:t>
            </w:r>
          </w:p>
        </w:tc>
        <w:tc>
          <w:tcPr>
            <w:tcW w:type="dxa" w:w="6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ECP 8.5 相容版本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ECP</w:t>
            </w:r>
          </w:p>
        </w:tc>
        <w:tc>
          <w:tcPr>
            <w:tcW w:type="dxa" w:w="6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8.5.02.36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Quicksilver</w:t>
            </w:r>
          </w:p>
        </w:tc>
        <w:tc>
          <w:tcPr>
            <w:tcW w:type="dxa" w:w="6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7.1.31.beta22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網路</w:t>
            </w:r>
          </w:p>
        </w:tc>
        <w:tc>
          <w:tcPr>
            <w:tcW w:type="dxa" w:w="6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應用伺服器可連線至 AD、KM DB、Chat DB</w:t>
            </w:r>
          </w:p>
        </w:tc>
      </w:tr>
    </w:tbl>
    <w:p>
      <w:pPr>
        <w:spacing w:before="240"/>
      </w:pPr>
    </w:p>
    <w:p>
      <w:pPr>
        <w:pStyle w:val="Heading2"/>
        <w:spacing w:after="120" w:before="320"/>
      </w:pPr>
      <w:r>
        <w:rPr>
          <w:rFonts w:ascii="微軟正黑體" w:cs="微軟正黑體" w:eastAsia="微軟正黑體" w:hAnsi="微軟正黑體"/>
          <w:b/>
          <w:bCs/>
          <w:color w:val="2E75B6"/>
          <w:sz w:val="26"/>
          <w:szCs w:val="26"/>
        </w:rPr>
        <w:t xml:space="preserve">10. 已知限制與待辦事項</w:t>
      </w:r>
    </w:p>
    <w:p>
      <w:pPr>
        <w:pStyle w:val="Heading3"/>
        <w:spacing w:after="80" w:before="240"/>
      </w:pPr>
      <w:r>
        <w:rPr>
          <w:rFonts w:ascii="微軟正黑體" w:cs="微軟正黑體" w:eastAsia="微軟正黑體" w:hAnsi="微軟正黑體"/>
          <w:b/>
          <w:bCs/>
          <w:sz w:val="22"/>
          <w:szCs w:val="22"/>
        </w:rPr>
        <w:t xml:space="preserve">10.1 已知限制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r>
              <w:rPr>
                <w:rFonts w:ascii="微軟正黑體" w:cs="微軟正黑體" w:eastAsia="微軟正黑體" w:hAnsi="微軟正黑體"/>
                <w:b/>
                <w:bCs/>
                <w:color w:val="1F4E79"/>
                <w:sz w:val="20"/>
                <w:szCs w:val="20"/>
              </w:rPr>
              <w:t xml:space="preserve">項目</w:t>
            </w:r>
          </w:p>
        </w:tc>
        <w:tc>
          <w:tcPr>
            <w:tcW w:type="dxa" w:w="582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r>
              <w:rPr>
                <w:rFonts w:ascii="微軟正黑體" w:cs="微軟正黑體" w:eastAsia="微軟正黑體" w:hAnsi="微軟正黑體"/>
                <w:b/>
                <w:bCs/>
                <w:color w:val="1F4E79"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API 端點停用</w:t>
            </w:r>
          </w:p>
        </w:tc>
        <w:tc>
          <w:tcPr>
            <w:tcW w:type="dxa" w:w="58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SSOLoginLogApi 的 ECP API 端點目前為空實作，功能由 JSP 承擔</w:t>
            </w:r>
          </w:p>
        </w:tc>
      </w:tr>
      <w:tr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無 Token Revoke 機制</w:t>
            </w:r>
          </w:p>
        </w:tc>
        <w:tc>
          <w:tcPr>
            <w:tcW w:type="dxa" w:w="58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Token 無法主動撤銷，只能等待 5 分鐘自然過期</w:t>
            </w:r>
          </w:p>
        </w:tc>
      </w:tr>
      <w:tr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聊天摘要非冪等</w:t>
            </w:r>
          </w:p>
        </w:tc>
        <w:tc>
          <w:tcPr>
            <w:tcW w:type="dxa" w:w="58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重複執行會產生重複資料</w:t>
            </w:r>
          </w:p>
        </w:tc>
      </w:tr>
      <w:tr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CORS 白名單</w:t>
            </w:r>
          </w:p>
        </w:tc>
        <w:tc>
          <w:tcPr>
            <w:tcW w:type="dxa" w:w="58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login.jsp 的 CORS 設定需確認是否鎖定特定來源域名</w:t>
            </w:r>
          </w:p>
        </w:tc>
      </w:tr>
      <w:tr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帳號停用邏輯</w:t>
            </w:r>
          </w:p>
        </w:tc>
        <w:tc>
          <w:tcPr>
            <w:tcW w:type="dxa" w:w="58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KM 人員離職後，ECP 帳號的停用/刪除流程未在程式碼中看到，可能需要手動處理</w:t>
            </w:r>
          </w:p>
        </w:tc>
      </w:tr>
    </w:tbl>
    <w:p>
      <w:pPr>
        <w:pStyle w:val="Heading3"/>
        <w:spacing w:after="80" w:before="240"/>
      </w:pPr>
      <w:r>
        <w:rPr>
          <w:rFonts w:ascii="微軟正黑體" w:cs="微軟正黑體" w:eastAsia="微軟正黑體" w:hAnsi="微軟正黑體"/>
          <w:b/>
          <w:bCs/>
          <w:sz w:val="22"/>
          <w:szCs w:val="22"/>
        </w:rPr>
        <w:t xml:space="preserve">10.2 建議改善項目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800"/>
        <w:gridCol w:w="5026"/>
      </w:tblGrid>
      <w:tr>
        <w:trPr>
          <w:tblHeader/>
        </w:trPr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r>
              <w:rPr>
                <w:rFonts w:ascii="微軟正黑體" w:cs="微軟正黑體" w:eastAsia="微軟正黑體" w:hAnsi="微軟正黑體"/>
                <w:b/>
                <w:bCs/>
                <w:color w:val="1F4E79"/>
                <w:sz w:val="20"/>
                <w:szCs w:val="20"/>
              </w:rPr>
              <w:t xml:space="preserve">優先級</w:t>
            </w:r>
          </w:p>
        </w:tc>
        <w:tc>
          <w:tcPr>
            <w:tcW w:type="dxa" w:w="2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r>
              <w:rPr>
                <w:rFonts w:ascii="微軟正黑體" w:cs="微軟正黑體" w:eastAsia="微軟正黑體" w:hAnsi="微軟正黑體"/>
                <w:b/>
                <w:bCs/>
                <w:color w:val="1F4E79"/>
                <w:sz w:val="20"/>
                <w:szCs w:val="20"/>
              </w:rPr>
              <w:t xml:space="preserve">項目</w:t>
            </w:r>
          </w:p>
        </w:tc>
        <w:tc>
          <w:tcPr>
            <w:tcW w:type="dxa" w:w="502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r>
              <w:rPr>
                <w:rFonts w:ascii="微軟正黑體" w:cs="微軟正黑體" w:eastAsia="微軟正黑體" w:hAnsi="微軟正黑體"/>
                <w:b/>
                <w:bCs/>
                <w:color w:val="1F4E79"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高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聊天摘要冪等設計</w:t>
            </w:r>
          </w:p>
        </w:tc>
        <w:tc>
          <w:tcPr>
            <w:tcW w:type="dxa" w:w="5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執行前先 DELETE 當日資料，或改用 UPSERT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高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帳號離職停用</w:t>
            </w:r>
          </w:p>
        </w:tc>
        <w:tc>
          <w:tcPr>
            <w:tcW w:type="dxa" w:w="5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增加「HR 中不存在的 ECP 帳號自動停用」邏輯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中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Token 延長機制</w:t>
            </w:r>
          </w:p>
        </w:tc>
        <w:tc>
          <w:tcPr>
            <w:tcW w:type="dxa" w:w="5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提供 refresh token 或延長有效期至 30 分鐘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中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CORS 白名單</w:t>
            </w:r>
          </w:p>
        </w:tc>
        <w:tc>
          <w:tcPr>
            <w:tcW w:type="dxa" w:w="5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限制 Access-Control-Allow-Origin 為特定域名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低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API 端點啟用</w:t>
            </w:r>
          </w:p>
        </w:tc>
        <w:tc>
          <w:tcPr>
            <w:tcW w:type="dxa" w:w="5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啟用 ECP API 版本的 SSO 端點，取代 JSP 直接處理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低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單元測試</w:t>
            </w:r>
          </w:p>
        </w:tc>
        <w:tc>
          <w:tcPr>
            <w:tcW w:type="dxa" w:w="5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微軟正黑體" w:cs="微軟正黑體" w:eastAsia="微軟正黑體" w:hAnsi="微軟正黑體"/>
                <w:sz w:val="19"/>
                <w:szCs w:val="19"/>
              </w:rPr>
              <w:t xml:space="preserve">補充 HrSyncService、SSOLoginLogService 的單元測試</w:t>
            </w:r>
          </w:p>
        </w:tc>
      </w:tr>
    </w:tbl>
    <w:p>
      <w:pPr>
        <w:spacing w:before="400"/>
      </w:pPr>
    </w:p>
    <w:p>
      <w:pPr>
        <w:pBdr>
          <w:top w:val="single" w:color="BFBFBF" w:sz="4" w:space="4"/>
        </w:pBdr>
        <w:spacing w:after="80" w:before="160"/>
        <w:jc w:val="center"/>
      </w:pPr>
      <w:r>
        <w:rPr>
          <w:rFonts w:ascii="微軟正黑體" w:cs="微軟正黑體" w:eastAsia="微軟正黑體" w:hAnsi="微軟正黑體"/>
          <w:color w:val="808080"/>
          <w:sz w:val="18"/>
          <w:szCs w:val="18"/>
        </w:rPr>
        <w:t xml:space="preserve">本文件依據原始碼分析產生，如有疑義請以原始碼為準。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spacing w:before="80"/>
      <w:jc w:val="center"/>
    </w:pPr>
    <w:r>
      <w:rPr>
        <w:rFonts w:ascii="微軟正黑體" w:cs="微軟正黑體" w:eastAsia="微軟正黑體" w:hAnsi="微軟正黑體"/>
        <w:color w:val="808080"/>
        <w:sz w:val="16"/>
        <w:szCs w:val="16"/>
      </w:rPr>
      <w:t xml:space="preserve">第 </w:t>
    </w:r>
    <w:r>
      <w:rPr>
        <w:rFonts w:ascii="微軟正黑體" w:cs="微軟正黑體" w:eastAsia="微軟正黑體" w:hAnsi="微軟正黑體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微軟正黑體" w:cs="微軟正黑體" w:eastAsia="微軟正黑體" w:hAnsi="微軟正黑體"/>
        <w:color w:val="808080"/>
        <w:sz w:val="16"/>
        <w:szCs w:val="16"/>
      </w:rP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4"/>
      </w:pBdr>
      <w:spacing w:after="80"/>
      <w:jc w:val="right"/>
    </w:pPr>
    <w:r>
      <w:rPr>
        <w:rFonts w:ascii="微軟正黑體" w:cs="微軟正黑體" w:eastAsia="微軟正黑體" w:hAnsi="微軟正黑體"/>
        <w:color w:val="808080"/>
        <w:sz w:val="16"/>
        <w:szCs w:val="16"/>
      </w:rPr>
      <w:t xml:space="preserve">台灣自來水公司 資訊整合系統 — 系統架構與詳細設計文件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軟正黑體" w:cs="微軟正黑體" w:eastAsia="微軟正黑體" w:hAnsi="微軟正黑體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480"/>
      <w:outlineLvl w:val="0"/>
    </w:pPr>
    <w:rPr>
      <w:rFonts w:ascii="微軟正黑體" w:cs="微軟正黑體" w:eastAsia="微軟正黑體" w:hAnsi="微軟正黑體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320"/>
      <w:outlineLvl w:val="1"/>
    </w:pPr>
    <w:rPr>
      <w:rFonts w:ascii="微軟正黑體" w:cs="微軟正黑體" w:eastAsia="微軟正黑體" w:hAnsi="微軟正黑體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40"/>
      <w:outlineLvl w:val="2"/>
    </w:pPr>
    <w:rPr>
      <w:rFonts w:ascii="微軟正黑體" w:cs="微軟正黑體" w:eastAsia="微軟正黑體" w:hAnsi="微軟正黑體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2026-05-14T07:05:01.248Z</dcterms:created>
  <dcterms:modified xsi:type="dcterms:W3CDTF">2026-05-14T07:05:01.249Z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