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97D"/>
          <w:sz w:val="56"/>
        </w:rPr>
        <w:t>台灣自來水公司</w:t>
      </w:r>
    </w:p>
    <w:p>
      <w:pPr>
        <w:jc w:val="center"/>
      </w:pPr>
      <w:r>
        <w:rPr>
          <w:b/>
          <w:i w:val="0"/>
          <w:color w:val="1F497D"/>
          <w:sz w:val="44"/>
        </w:rPr>
        <w:t>TOGAF 軟體開發原則合規報告</w:t>
      </w:r>
    </w:p>
    <w:p/>
    <w:p>
      <w:pPr>
        <w:jc w:val="center"/>
      </w:pPr>
      <w:r>
        <w:rPr>
          <w:b w:val="0"/>
          <w:i w:val="0"/>
          <w:color w:val="404040"/>
          <w:sz w:val="24"/>
        </w:rPr>
        <w:t>生成時間：2026-05-18 13:45:08</w:t>
      </w:r>
    </w:p>
    <w:p>
      <w:pPr>
        <w:jc w:val="center"/>
      </w:pPr>
      <w:r>
        <w:rPr>
          <w:b w:val="0"/>
          <w:i w:val="0"/>
          <w:color w:val="404040"/>
          <w:sz w:val="22"/>
        </w:rPr>
        <w:t>掃描目錄：..</w:t>
      </w:r>
    </w:p>
    <w:p>
      <w:pPr>
        <w:jc w:val="center"/>
      </w:pPr>
      <w:r>
        <w:rPr>
          <w:b w:val="0"/>
          <w:i w:val="0"/>
          <w:color w:val="404040"/>
          <w:sz w:val="22"/>
        </w:rPr>
        <w:t>掃描檔案總數：32 個</w:t>
      </w:r>
    </w:p>
    <w:p/>
    <w:p/>
    <w:p>
      <w:pPr>
        <w:jc w:val="center"/>
      </w:pPr>
      <w:r>
        <w:rPr>
          <w:b/>
          <w:i w:val="0"/>
          <w:color w:val="378626"/>
          <w:sz w:val="40"/>
        </w:rPr>
        <w:t>整體合規分數  99%</w:t>
      </w:r>
    </w:p>
    <w:p>
      <w:pPr>
        <w:jc w:val="center"/>
      </w:pPr>
      <w:r>
        <w:rPr>
          <w:b w:val="0"/>
          <w:i w:val="0"/>
          <w:color w:val="378626"/>
          <w:sz w:val="28"/>
        </w:rPr>
        <w:t>████████████████████  99%</w:t>
      </w:r>
    </w:p>
    <w:p>
      <w:r>
        <w:br w:type="page"/>
      </w:r>
    </w:p>
    <w:p>
      <w:pPr>
        <w:pStyle w:val="Heading1"/>
      </w:pPr>
      <w:r>
        <w:t>1. 執行摘要</w:t>
      </w:r>
    </w:p>
    <w:p>
      <w:r>
        <w:rPr>
          <w:b w:val="0"/>
          <w:i w:val="0"/>
          <w:color w:val="000000"/>
          <w:sz w:val="22"/>
        </w:rPr>
        <w:t>本報告針對「台灣自來水公司 資訊整合系統」原始碼進行靜態分析，共掃描 32 個檔案，依 TOGAF 架構框架定義之 8 項軟體開發準則逐一評估。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優先度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準則ID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準則名稱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掃描項目數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發現問題數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合規分數</w:t>
            </w:r>
          </w:p>
        </w:tc>
      </w:tr>
      <w:tr>
        <w:tc>
          <w:tcPr>
            <w:tcW w:type="dxa" w:w="85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最高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P15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Data Security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7994</w:t>
            </w:r>
          </w:p>
        </w:tc>
        <w:tc>
          <w:tcPr>
            <w:tcW w:type="dxa" w:w="1247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20"/>
              </w:rPr>
              <w:t>高:6  中:3  低:0</w:t>
            </w:r>
          </w:p>
        </w:tc>
        <w:tc>
          <w:tcPr>
            <w:tcW w:type="dxa" w:w="1134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100%</w:t>
            </w:r>
          </w:p>
        </w:tc>
      </w:tr>
      <w:tr>
        <w:tc>
          <w:tcPr>
            <w:tcW w:type="dxa" w:w="85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最高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P16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Technology Independence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2822</w:t>
            </w:r>
          </w:p>
        </w:tc>
        <w:tc>
          <w:tcPr>
            <w:tcW w:type="dxa" w:w="1247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高:0  中:0  低:1</w:t>
            </w:r>
          </w:p>
        </w:tc>
        <w:tc>
          <w:tcPr>
            <w:tcW w:type="dxa" w:w="1134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100%</w:t>
            </w:r>
          </w:p>
        </w:tc>
      </w:tr>
      <w:tr>
        <w:tc>
          <w:tcPr>
            <w:tcW w:type="dxa" w:w="85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最高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P20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Control Technical Diversity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無</w:t>
            </w:r>
          </w:p>
        </w:tc>
        <w:tc>
          <w:tcPr>
            <w:tcW w:type="dxa" w:w="1134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100%</w:t>
            </w:r>
          </w:p>
        </w:tc>
      </w:tr>
      <w:tr>
        <w:tc>
          <w:tcPr>
            <w:tcW w:type="dxa" w:w="85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最高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P21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Interoperability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1415</w:t>
            </w:r>
          </w:p>
        </w:tc>
        <w:tc>
          <w:tcPr>
            <w:tcW w:type="dxa" w:w="1247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20"/>
              </w:rPr>
              <w:t>高:0  中:1  低:0</w:t>
            </w:r>
          </w:p>
        </w:tc>
        <w:tc>
          <w:tcPr>
            <w:tcW w:type="dxa" w:w="1134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100%</w:t>
            </w:r>
          </w:p>
        </w:tc>
      </w:tr>
      <w:tr>
        <w:tc>
          <w:tcPr>
            <w:tcW w:type="dxa" w:w="85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P6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Service Orientation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無</w:t>
            </w:r>
          </w:p>
        </w:tc>
        <w:tc>
          <w:tcPr>
            <w:tcW w:type="dxa" w:w="1134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100%</w:t>
            </w:r>
          </w:p>
        </w:tc>
      </w:tr>
      <w:tr>
        <w:tc>
          <w:tcPr>
            <w:tcW w:type="dxa" w:w="85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P5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Common Use Applications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247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高:0  中:0  低:1</w:t>
            </w:r>
          </w:p>
        </w:tc>
        <w:tc>
          <w:tcPr>
            <w:tcW w:type="dxa" w:w="1134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97%</w:t>
            </w:r>
          </w:p>
        </w:tc>
      </w:tr>
      <w:tr>
        <w:tc>
          <w:tcPr>
            <w:tcW w:type="dxa" w:w="85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P4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Business Continuity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1440</w:t>
            </w:r>
          </w:p>
        </w:tc>
        <w:tc>
          <w:tcPr>
            <w:tcW w:type="dxa" w:w="1247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高:0  中:0  低:26</w:t>
            </w:r>
          </w:p>
        </w:tc>
        <w:tc>
          <w:tcPr>
            <w:tcW w:type="dxa" w:w="1134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98%</w:t>
            </w:r>
          </w:p>
        </w:tc>
      </w:tr>
      <w:tr>
        <w:tc>
          <w:tcPr>
            <w:tcW w:type="dxa" w:w="85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P7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Compliance with Law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2822</w:t>
            </w:r>
          </w:p>
        </w:tc>
        <w:tc>
          <w:tcPr>
            <w:tcW w:type="dxa" w:w="1247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20"/>
              </w:rPr>
              <w:t>高:1  中:7  低:0</w:t>
            </w:r>
          </w:p>
        </w:tc>
        <w:tc>
          <w:tcPr>
            <w:tcW w:type="dxa" w:w="1134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100%</w:t>
            </w:r>
          </w:p>
        </w:tc>
      </w:tr>
    </w:tbl>
    <w:p/>
    <w:p>
      <w:r>
        <w:rPr>
          <w:b/>
        </w:rPr>
        <w:t>說明：</w:t>
      </w:r>
      <w:r>
        <w:t xml:space="preserve"> 優先度「最高(🔴)」為 TOGAF 核心安全與互通性準則；「高(🟠)」為架構品質準則。合規分數 ≥80% 為綠色（合格），60-79% 為橙色（需改善），&lt;60% 為紅色（不合格）。</w:t>
      </w:r>
    </w:p>
    <w:p>
      <w:r>
        <w:br w:type="page"/>
      </w:r>
    </w:p>
    <w:p>
      <w:pPr>
        <w:pStyle w:val="Heading1"/>
      </w:pPr>
      <w:r>
        <w:t>2. P15 — Data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優先度：最高</w:t>
            </w:r>
          </w:p>
        </w:tc>
        <w:tc>
          <w:tcPr>
            <w:tcW w:type="dxa" w:w="17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FAIL ✗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掃描項目：7994  通過：7985</w:t>
            </w:r>
          </w:p>
        </w:tc>
        <w:tc>
          <w:tcPr>
            <w:tcW w:type="dxa" w:w="3118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████████████████████  100%</w:t>
            </w:r>
          </w:p>
        </w:tc>
      </w:tr>
    </w:tbl>
    <w:p/>
    <w:p>
      <w:r>
        <w:rPr>
          <w:b/>
          <w:i w:val="0"/>
          <w:color w:val="000000"/>
          <w:sz w:val="22"/>
        </w:rPr>
        <w:t>發現問題清單：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嚴重等級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檔案路徑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行號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問題說明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違規代碼片段</w:t>
            </w:r>
          </w:p>
        </w:tc>
      </w:tr>
      <w:tr>
        <w:tc>
          <w:tcPr>
            <w:tcW w:type="dxa" w:w="102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api\impl\SSOLoginLogApiImpl.java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isTokenRequired=false 跳過認證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//</w:t>
              <w:tab/>
              <w:t>@Api(path = "/TCBEcpSSO/EcpSSO", isTokenRequired = false, input = {</w:t>
            </w:r>
          </w:p>
        </w:tc>
      </w:tr>
      <w:tr>
        <w:tc>
          <w:tcPr>
            <w:tcW w:type="dxa" w:w="102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api\impl\SSOLoginLogApiImpl.java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39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isTokenRequired=false 跳過認證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//</w:t>
              <w:tab/>
              <w:t>@Api(path = "/TCBEcpSSO/SSOToken", isTokenRequired = false, input = {</w:t>
            </w:r>
          </w:p>
        </w:tc>
      </w:tr>
      <w:tr>
        <w:tc>
          <w:tcPr>
            <w:tcW w:type="dxa" w:w="102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api\impl\ChatMessageSummaryApiImpl.java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isTokenRequired=false 跳過認證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@Api(path = "/javalesson/hello", isTokenRequired = false, output = {}, input = {})</w:t>
            </w:r>
          </w:p>
        </w:tc>
      </w:tr>
      <w:tr>
        <w:tc>
          <w:tcPr>
            <w:tcW w:type="dxa" w:w="102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custom\login\autologin.jsp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硬編碼密碼/金鑰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logBuf.append("[STEP2] Cookie PUBLIC_APP_USER_SSO_TOKEN=").append(waterToken).append("\n");</w:t>
            </w:r>
          </w:p>
        </w:tc>
      </w:tr>
      <w:tr>
        <w:tc>
          <w:tcPr>
            <w:tcW w:type="dxa" w:w="102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custom\login\autologin.jsp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78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硬編碼密碼/金鑰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.append("  ai3Token=").append(ai3Token).append("\n");</w:t>
            </w:r>
          </w:p>
        </w:tc>
      </w:tr>
      <w:tr>
        <w:tc>
          <w:tcPr>
            <w:tcW w:type="dxa" w:w="102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custom\login\autologin.jsp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106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硬編碼密碼/金鑰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private static final String APP_PRIVATE_PASSWD = "01d9ee5fea7951c3446f84a4b4039521";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custom\login\login.jsp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CORS 開放通配符 (*)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response.setHeader("Access-Control-Allow-Origin", "*");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(全域)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缺少授權框架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 @Secured / @PreAuthorize 等授權標記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(全域)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缺少加密實作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未發現加密/雜湊 API 使用</w:t>
            </w:r>
          </w:p>
        </w:tc>
      </w:tr>
    </w:tbl>
    <w:p/>
    <w:p>
      <w:r>
        <w:rPr>
          <w:b/>
          <w:i w:val="0"/>
          <w:color w:val="000000"/>
          <w:sz w:val="22"/>
        </w:rPr>
        <w:t>改善建議：</w:t>
      </w:r>
    </w:p>
    <w:p>
      <w:pPr>
        <w:pStyle w:val="ListBullet"/>
      </w:pPr>
      <w:r>
        <w:rPr>
          <w:b w:val="0"/>
          <w:i w:val="0"/>
          <w:sz w:val="20"/>
        </w:rPr>
        <w:t>使用設定檔（application.properties / Vault）管理密碼，禁止硬編碼</w:t>
      </w:r>
    </w:p>
    <w:p>
      <w:pPr>
        <w:pStyle w:val="ListBullet"/>
      </w:pPr>
      <w:r>
        <w:rPr>
          <w:b w:val="0"/>
          <w:i w:val="0"/>
          <w:sz w:val="20"/>
        </w:rPr>
        <w:t>採用 PreparedStatement 或 MyBatis #{} 參數化查詢防止 SQL 注入</w:t>
      </w:r>
    </w:p>
    <w:p>
      <w:pPr>
        <w:pStyle w:val="ListBullet"/>
      </w:pPr>
      <w:r>
        <w:rPr>
          <w:b w:val="0"/>
          <w:i w:val="0"/>
          <w:sz w:val="20"/>
        </w:rPr>
        <w:t>所有 API 端點加入 @PreAuthorize 或 Spring Security 過濾器</w:t>
      </w:r>
    </w:p>
    <w:p>
      <w:pPr>
        <w:pStyle w:val="ListBullet"/>
      </w:pPr>
      <w:r>
        <w:rPr>
          <w:b w:val="0"/>
          <w:i w:val="0"/>
          <w:sz w:val="20"/>
        </w:rPr>
        <w:t>傳輸層使用 TLS 1.2+，敏感欄位儲存前加密（AES-256）</w:t>
      </w:r>
    </w:p>
    <w:p>
      <w:pPr>
        <w:pStyle w:val="ListBullet"/>
      </w:pPr>
      <w:r>
        <w:rPr>
          <w:b w:val="0"/>
          <w:i w:val="0"/>
          <w:sz w:val="20"/>
        </w:rPr>
        <w:t>跨域限制明確來源列表，禁止 Access-Control-Allow-Origin: *</w:t>
      </w:r>
    </w:p>
    <w:p/>
    <w:p>
      <w:r>
        <w:br w:type="page"/>
      </w:r>
    </w:p>
    <w:p>
      <w:pPr>
        <w:pStyle w:val="Heading1"/>
      </w:pPr>
      <w:r>
        <w:t>3. P16 — Technology Independence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優先度：最高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PASS ✓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掃描項目：2822  通過：2821</w:t>
            </w:r>
          </w:p>
        </w:tc>
        <w:tc>
          <w:tcPr>
            <w:tcW w:type="dxa" w:w="3118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████████████████████  100%</w:t>
            </w:r>
          </w:p>
        </w:tc>
      </w:tr>
    </w:tbl>
    <w:p/>
    <w:p>
      <w:r>
        <w:rPr>
          <w:b/>
          <w:i w:val="0"/>
          <w:color w:val="000000"/>
          <w:sz w:val="22"/>
        </w:rPr>
        <w:t>發現問題清單：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嚴重等級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檔案路徑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行號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問題說明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違規代碼片段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(全域)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缺少依賴注入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未發現依賴注入標記 (@Autowired/@Inject)</w:t>
            </w:r>
          </w:p>
        </w:tc>
      </w:tr>
    </w:tbl>
    <w:p/>
    <w:p>
      <w:r>
        <w:rPr>
          <w:b/>
          <w:i w:val="0"/>
          <w:color w:val="000000"/>
          <w:sz w:val="22"/>
        </w:rPr>
        <w:t>改善建議：</w:t>
      </w:r>
    </w:p>
    <w:p>
      <w:pPr>
        <w:pStyle w:val="ListBullet"/>
      </w:pPr>
      <w:r>
        <w:rPr>
          <w:b w:val="0"/>
          <w:i w:val="0"/>
          <w:sz w:val="20"/>
        </w:rPr>
        <w:t>透過介面定義服務合約，實作類別以 Spring @Service 注入</w:t>
      </w:r>
    </w:p>
    <w:p>
      <w:pPr>
        <w:pStyle w:val="ListBullet"/>
      </w:pPr>
      <w:r>
        <w:rPr>
          <w:b w:val="0"/>
          <w:i w:val="0"/>
          <w:sz w:val="20"/>
        </w:rPr>
        <w:t>避免直接 new *Impl()，改用建構子注入或工廠方法</w:t>
      </w:r>
    </w:p>
    <w:p>
      <w:pPr>
        <w:pStyle w:val="ListBullet"/>
      </w:pPr>
      <w:r>
        <w:rPr>
          <w:b w:val="0"/>
          <w:i w:val="0"/>
          <w:sz w:val="20"/>
        </w:rPr>
        <w:t>資料庫驅動使用 JDBC 抽象層（Spring JdbcTemplate / JPA）</w:t>
      </w:r>
    </w:p>
    <w:p>
      <w:pPr>
        <w:pStyle w:val="ListBullet"/>
      </w:pPr>
      <w:r>
        <w:rPr>
          <w:b w:val="0"/>
          <w:i w:val="0"/>
          <w:sz w:val="20"/>
        </w:rPr>
        <w:t>第三方服務呼叫封裝至 Adapter 類別，隔離廠商 SDK 依賴</w:t>
      </w:r>
    </w:p>
    <w:p/>
    <w:p>
      <w:r>
        <w:br w:type="page"/>
      </w:r>
    </w:p>
    <w:p>
      <w:pPr>
        <w:pStyle w:val="Heading1"/>
      </w:pPr>
      <w:r>
        <w:t>4. P20 — Control Technical Diversity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優先度：最高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PASS ✓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掃描項目：3  通過：3</w:t>
            </w:r>
          </w:p>
        </w:tc>
        <w:tc>
          <w:tcPr>
            <w:tcW w:type="dxa" w:w="3118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████████████████████  100%</w:t>
            </w:r>
          </w:p>
        </w:tc>
      </w:tr>
    </w:tbl>
    <w:p/>
    <w:p>
      <w:r>
        <w:rPr>
          <w:b/>
          <w:i w:val="0"/>
          <w:color w:val="378626"/>
          <w:sz w:val="22"/>
        </w:rPr>
        <w:t xml:space="preserve">  本準則未發現任何問題，符合 TOGAF 要求。</w:t>
      </w:r>
    </w:p>
    <w:p/>
    <w:p>
      <w:r>
        <w:br w:type="page"/>
      </w:r>
    </w:p>
    <w:p>
      <w:pPr>
        <w:pStyle w:val="Heading1"/>
      </w:pPr>
      <w:r>
        <w:t>5. P21 — Interoperability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優先度：最高</w:t>
            </w:r>
          </w:p>
        </w:tc>
        <w:tc>
          <w:tcPr>
            <w:tcW w:type="dxa" w:w="17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FAIL ✗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掃描項目：1415  通過：1414</w:t>
            </w:r>
          </w:p>
        </w:tc>
        <w:tc>
          <w:tcPr>
            <w:tcW w:type="dxa" w:w="3118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████████████████████  100%</w:t>
            </w:r>
          </w:p>
        </w:tc>
      </w:tr>
    </w:tbl>
    <w:p/>
    <w:p>
      <w:r>
        <w:rPr>
          <w:b/>
          <w:i w:val="0"/>
          <w:color w:val="000000"/>
          <w:sz w:val="22"/>
        </w:rPr>
        <w:t>發現問題清單：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嚴重等級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檔案路徑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行號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問題說明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違規代碼片段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custom\login\sso.jsp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Content-Type 標頭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JSP 輸出 JSON 但未設定 Content-Type: application/json</w:t>
            </w:r>
          </w:p>
        </w:tc>
      </w:tr>
    </w:tbl>
    <w:p/>
    <w:p>
      <w:r>
        <w:rPr>
          <w:b/>
          <w:i w:val="0"/>
          <w:color w:val="000000"/>
          <w:sz w:val="22"/>
        </w:rPr>
        <w:t>改善建議：</w:t>
      </w:r>
    </w:p>
    <w:p>
      <w:pPr>
        <w:pStyle w:val="ListBullet"/>
      </w:pPr>
      <w:r>
        <w:rPr>
          <w:b w:val="0"/>
          <w:i w:val="0"/>
          <w:sz w:val="20"/>
        </w:rPr>
        <w:t>設定檔集中管理服務 URL，禁止硬編碼 IP 位址</w:t>
      </w:r>
    </w:p>
    <w:p>
      <w:pPr>
        <w:pStyle w:val="ListBullet"/>
      </w:pPr>
      <w:r>
        <w:rPr>
          <w:b w:val="0"/>
          <w:i w:val="0"/>
          <w:sz w:val="20"/>
        </w:rPr>
        <w:t>JSP 回應 JSON 時明確設定 response.setContentType("application/json;charset=UTF-8")</w:t>
      </w:r>
    </w:p>
    <w:p>
      <w:pPr>
        <w:pStyle w:val="ListBullet"/>
      </w:pPr>
      <w:r>
        <w:rPr>
          <w:b w:val="0"/>
          <w:i w:val="0"/>
          <w:sz w:val="20"/>
        </w:rPr>
        <w:t>使用 Swagger/OpenAPI 標記 (@Api, @ApiOperation) 文件化所有端點</w:t>
      </w:r>
    </w:p>
    <w:p>
      <w:pPr>
        <w:pStyle w:val="ListBullet"/>
      </w:pPr>
      <w:r>
        <w:rPr>
          <w:b w:val="0"/>
          <w:i w:val="0"/>
          <w:sz w:val="20"/>
        </w:rPr>
        <w:t>遵循 RESTful 設計：GET/POST/PUT/DELETE 語意化，回應格式統一</w:t>
      </w:r>
    </w:p>
    <w:p/>
    <w:p>
      <w:r>
        <w:br w:type="page"/>
      </w:r>
    </w:p>
    <w:p>
      <w:pPr>
        <w:pStyle w:val="Heading1"/>
      </w:pPr>
      <w:r>
        <w:t>6. P6 — Service Orientation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優先度：高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PASS ✓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掃描項目：32  通過：32</w:t>
            </w:r>
          </w:p>
        </w:tc>
        <w:tc>
          <w:tcPr>
            <w:tcW w:type="dxa" w:w="3118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████████████████████  100%</w:t>
            </w:r>
          </w:p>
        </w:tc>
      </w:tr>
    </w:tbl>
    <w:p/>
    <w:p>
      <w:r>
        <w:rPr>
          <w:b/>
          <w:i w:val="0"/>
          <w:color w:val="378626"/>
          <w:sz w:val="22"/>
        </w:rPr>
        <w:t xml:space="preserve">  本準則未發現任何問題，符合 TOGAF 要求。</w:t>
      </w:r>
    </w:p>
    <w:p/>
    <w:p>
      <w:r>
        <w:br w:type="page"/>
      </w:r>
    </w:p>
    <w:p>
      <w:pPr>
        <w:pStyle w:val="Heading1"/>
      </w:pPr>
      <w:r>
        <w:t>7. P5 — Common Use Applications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優先度：高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PASS ✓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掃描項目：29  通過：28</w:t>
            </w:r>
          </w:p>
        </w:tc>
        <w:tc>
          <w:tcPr>
            <w:tcW w:type="dxa" w:w="3118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███████████████████░  97%</w:t>
            </w:r>
          </w:p>
        </w:tc>
      </w:tr>
    </w:tbl>
    <w:p/>
    <w:p>
      <w:r>
        <w:rPr>
          <w:b/>
          <w:i w:val="0"/>
          <w:color w:val="000000"/>
          <w:sz w:val="22"/>
        </w:rPr>
        <w:t>發現問題清單：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嚴重等級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檔案路徑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行號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問題說明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違規代碼片段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(全域)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缺少共用元件套件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 common/util/shared 共用套件</w:t>
            </w:r>
          </w:p>
        </w:tc>
      </w:tr>
    </w:tbl>
    <w:p/>
    <w:p>
      <w:r>
        <w:rPr>
          <w:b/>
          <w:i w:val="0"/>
          <w:color w:val="000000"/>
          <w:sz w:val="22"/>
        </w:rPr>
        <w:t>改善建議：</w:t>
      </w:r>
    </w:p>
    <w:p>
      <w:pPr>
        <w:pStyle w:val="ListBullet"/>
      </w:pPr>
      <w:r>
        <w:rPr>
          <w:b w:val="0"/>
          <w:i w:val="0"/>
          <w:sz w:val="20"/>
        </w:rPr>
        <w:t>重複類別整合至公共模組（如 common-utils JAR）</w:t>
      </w:r>
    </w:p>
    <w:p>
      <w:pPr>
        <w:pStyle w:val="ListBullet"/>
      </w:pPr>
      <w:r>
        <w:rPr>
          <w:b w:val="0"/>
          <w:i w:val="0"/>
          <w:sz w:val="20"/>
        </w:rPr>
        <w:t>建立 Maven Parent POM 集中管理版本依賴</w:t>
      </w:r>
    </w:p>
    <w:p>
      <w:pPr>
        <w:pStyle w:val="ListBullet"/>
      </w:pPr>
      <w:r>
        <w:rPr>
          <w:b w:val="0"/>
          <w:i w:val="0"/>
          <w:sz w:val="20"/>
        </w:rPr>
        <w:t>確立禁止複製程式碼的開發規範，改用共享函式庫</w:t>
      </w:r>
    </w:p>
    <w:p>
      <w:pPr>
        <w:pStyle w:val="ListBullet"/>
      </w:pPr>
      <w:r>
        <w:rPr>
          <w:b w:val="0"/>
          <w:i w:val="0"/>
          <w:sz w:val="20"/>
        </w:rPr>
        <w:t>定期 Code Review 識別跨模組重複邏輯</w:t>
      </w:r>
    </w:p>
    <w:p/>
    <w:p>
      <w:r>
        <w:br w:type="page"/>
      </w:r>
    </w:p>
    <w:p>
      <w:pPr>
        <w:pStyle w:val="Heading1"/>
      </w:pPr>
      <w:r>
        <w:t>8. P4 — Business Continuity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優先度：高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PASS ✓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掃描項目：1440  通過：1414</w:t>
            </w:r>
          </w:p>
        </w:tc>
        <w:tc>
          <w:tcPr>
            <w:tcW w:type="dxa" w:w="3118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████████████████████  98%</w:t>
            </w:r>
          </w:p>
        </w:tc>
      </w:tr>
    </w:tbl>
    <w:p/>
    <w:p>
      <w:r>
        <w:rPr>
          <w:b/>
          <w:i w:val="0"/>
          <w:color w:val="000000"/>
          <w:sz w:val="22"/>
        </w:rPr>
        <w:t>發現問題清單：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嚴重等級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檔案路徑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行號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問題說明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違規代碼片段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action\impl\SSOLoginLogActionImpl.java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ecpsso\action\SSOLoginLogAction.java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api\impl\SSOLoginLogApiImpl.java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ecpsso\api\SSOLoginLogApi.java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dao\impl\SSOLoginLogDaoImpl.java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ecpsso\dao\SSOLoginLogDao.java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ecpsso\model\SSOLoginLogModel.java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ecpsso\service\SSOLoginLogService.java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ecpsso\SSOLoginLogHome.java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chatmessagesummary\action\ChatMessageSummaryAction.java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action\impl\ChatMessageSummaryActionImpl.java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chatmessagesummary\api\ChatMessageSummaryApi.java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api\impl\ChatMessageSummaryApiImpl.java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cus\chatmessagesummary\ChatMessageSummaryHome.java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chatmessagesummary\dao\ChatMessageSummaryDao.java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dao\impl\ChatMessageSummaryDaoImpl.java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chatmessagesummary\model\ChatMessageSummaryModel.java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chatmessagesummary\service\ChatMessageSummaryService.java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service\impl\ChatMessageSummaryServiceImpl.java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chatmessagesummary\timer\GetChatMessageSummaryRountine.java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hrsync\dao\HrSyncDao.java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dao\impl\HrSyncDaoImpl.java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hrsync\model\HrSyncModel.java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hrsync\service\HrSyncService.java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hrsync\timer\SyncHrDataRountine.java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 null 防禦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未發現任何 null 防禦檢查</w:t>
            </w:r>
          </w:p>
        </w:tc>
      </w:tr>
      <w:tr>
        <w:tc>
          <w:tcPr>
            <w:tcW w:type="dxa" w:w="1020"/>
            <w:shd w:val="clear" w:color="auto" w:fill="BDD7E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(全域)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缺少熔斷器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未發現熔斷器 (Hystrix / Resilience4j)</w:t>
            </w:r>
          </w:p>
        </w:tc>
      </w:tr>
    </w:tbl>
    <w:p/>
    <w:p>
      <w:r>
        <w:rPr>
          <w:b/>
          <w:i w:val="0"/>
          <w:color w:val="000000"/>
          <w:sz w:val="22"/>
        </w:rPr>
        <w:t>改善建議：</w:t>
      </w:r>
    </w:p>
    <w:p>
      <w:pPr>
        <w:pStyle w:val="ListBullet"/>
      </w:pPr>
      <w:r>
        <w:rPr>
          <w:b w:val="0"/>
          <w:i w:val="0"/>
          <w:sz w:val="20"/>
        </w:rPr>
        <w:t>所有 catch 塊必須記錄日誌（log.error(e.getMessage(), e)），禁止空 catch</w:t>
      </w:r>
    </w:p>
    <w:p>
      <w:pPr>
        <w:pStyle w:val="ListBullet"/>
      </w:pPr>
      <w:r>
        <w:rPr>
          <w:b w:val="0"/>
          <w:i w:val="0"/>
          <w:sz w:val="20"/>
        </w:rPr>
        <w:t>遠端呼叫加入 @Retryable 或自行實作重試（最多 3 次，指數退避）</w:t>
      </w:r>
    </w:p>
    <w:p>
      <w:pPr>
        <w:pStyle w:val="ListBullet"/>
      </w:pPr>
      <w:r>
        <w:rPr>
          <w:b w:val="0"/>
          <w:i w:val="0"/>
          <w:sz w:val="20"/>
        </w:rPr>
        <w:t>整合 Resilience4j CircuitBreaker 防止雪崩效應</w:t>
      </w:r>
    </w:p>
    <w:p>
      <w:pPr>
        <w:pStyle w:val="ListBullet"/>
      </w:pPr>
      <w:r>
        <w:rPr>
          <w:b w:val="0"/>
          <w:i w:val="0"/>
          <w:sz w:val="20"/>
        </w:rPr>
        <w:t>所有外部輸入參數執行 null 檢查並回傳有意義的錯誤訊息</w:t>
      </w:r>
    </w:p>
    <w:p>
      <w:pPr>
        <w:pStyle w:val="ListBullet"/>
      </w:pPr>
      <w:r>
        <w:rPr>
          <w:b w:val="0"/>
          <w:i w:val="0"/>
          <w:sz w:val="20"/>
        </w:rPr>
        <w:t>使用 Optional&lt;T&gt; 替代返回 null 的方法</w:t>
      </w:r>
    </w:p>
    <w:p/>
    <w:p>
      <w:r>
        <w:br w:type="page"/>
      </w:r>
    </w:p>
    <w:p>
      <w:pPr>
        <w:pStyle w:val="Heading1"/>
      </w:pPr>
      <w:r>
        <w:t>9. P7 — Compliance with Law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優先度：高</w:t>
            </w:r>
          </w:p>
        </w:tc>
        <w:tc>
          <w:tcPr>
            <w:tcW w:type="dxa" w:w="17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FAIL ✗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掃描項目：2822  通過：2814</w:t>
            </w:r>
          </w:p>
        </w:tc>
        <w:tc>
          <w:tcPr>
            <w:tcW w:type="dxa" w:w="3118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████████████████████  100%</w:t>
            </w:r>
          </w:p>
        </w:tc>
      </w:tr>
    </w:tbl>
    <w:p/>
    <w:p>
      <w:r>
        <w:rPr>
          <w:b/>
          <w:i w:val="0"/>
          <w:color w:val="000000"/>
          <w:sz w:val="22"/>
        </w:rPr>
        <w:t>發現問題清單：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嚴重等級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檔案路徑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行號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問題說明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違規代碼片段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dao\impl\SSOLoginLogDaoImpl.java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個人資料（姓名/地址）可能被寫入日誌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logger.debug("[getUserItem] input.loginName:{}, sql:{}", loginName, sql);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service\impl\HrSyncServiceImpl.java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106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個人資料（姓名/地址）可能被寫入日誌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logger.debug("[syncHrData] Skip TsAccount without login name, userId={}, accountId={}", userId, acco…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service\impl\HrSyncServiceImpl.java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113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個人資料（姓名/地址）可能被寫入日誌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logger.debug("[syncHrData] Login {} has no 00-department HR data, skip update", loginName);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service\impl\HrSyncServiceImpl.java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128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個人資料（姓名/地址）可能被寫入日誌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logger.warn("[syncHrData] AD {} 的部門 {} 無法對應，歸屬至根部門", loginName, hrDeptId);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service\impl\HrSyncServiceImpl.java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218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個人資料（姓名/地址）可能被寫入日誌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logger.debug("[syncDepartments] Created department '{}' id={}", deptName, ecpDeptId);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service\impl\HrSyncServiceImpl.java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221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個人資料（姓名/地址）可能被寫入日誌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logger.debug("[syncDepartments] Updated department '{}' id={}", deptName, ecpDeptId);</w:t>
            </w:r>
          </w:p>
        </w:tc>
      </w:tr>
      <w:tr>
        <w:tc>
          <w:tcPr>
            <w:tcW w:type="dxa" w:w="1020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高風險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(全域)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缺少個資脫敏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ourier New" w:hAnsi="Courier New"/>
                <w:sz w:val="16"/>
              </w:rPr>
              <w:t>發現 1 個含個資欄位的檔案但未發現脫敏處理</w:t>
            </w:r>
          </w:p>
        </w:tc>
      </w:tr>
      <w:tr>
        <w:tc>
          <w:tcPr>
            <w:tcW w:type="dxa" w:w="1020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(全域)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缺少稽核日誌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未發現稽核日誌寫入（AuditLog）</w:t>
            </w:r>
          </w:p>
        </w:tc>
      </w:tr>
    </w:tbl>
    <w:p/>
    <w:p>
      <w:r>
        <w:rPr>
          <w:b/>
          <w:i w:val="0"/>
          <w:color w:val="000000"/>
          <w:sz w:val="22"/>
        </w:rPr>
        <w:t>改善建議：</w:t>
      </w:r>
    </w:p>
    <w:p>
      <w:pPr>
        <w:pStyle w:val="ListBullet"/>
      </w:pPr>
      <w:r>
        <w:rPr>
          <w:b w:val="0"/>
          <w:i w:val="0"/>
          <w:sz w:val="20"/>
        </w:rPr>
        <w:t>日誌中禁止輸出密碼、身分證號、信用卡號等個資</w:t>
      </w:r>
    </w:p>
    <w:p>
      <w:pPr>
        <w:pStyle w:val="ListBullet"/>
      </w:pPr>
      <w:r>
        <w:rPr>
          <w:b w:val="0"/>
          <w:i w:val="0"/>
          <w:sz w:val="20"/>
        </w:rPr>
        <w:t>個資欄位顯示前進行脫敏（手機：09xx-xxx-xxx，身分證：A12x-xxxx）</w:t>
      </w:r>
    </w:p>
    <w:p>
      <w:pPr>
        <w:pStyle w:val="ListBullet"/>
      </w:pPr>
      <w:r>
        <w:rPr>
          <w:b w:val="0"/>
          <w:i w:val="0"/>
          <w:sz w:val="20"/>
        </w:rPr>
        <w:t>重要操作（登入/修改/刪除）寫入稽核日誌並記錄操作人員與時間</w:t>
      </w:r>
    </w:p>
    <w:p>
      <w:pPr>
        <w:pStyle w:val="ListBullet"/>
      </w:pPr>
      <w:r>
        <w:rPr>
          <w:b w:val="0"/>
          <w:i w:val="0"/>
          <w:sz w:val="20"/>
        </w:rPr>
        <w:t>依個資法要求提供資料查閱、更正、刪除機制</w:t>
      </w:r>
    </w:p>
    <w:p>
      <w:pPr>
        <w:pStyle w:val="ListBullet"/>
      </w:pPr>
      <w:r>
        <w:rPr>
          <w:b w:val="0"/>
          <w:i w:val="0"/>
          <w:sz w:val="20"/>
        </w:rPr>
        <w:t>定期稽核日誌備份留存 2 年以上</w:t>
      </w:r>
    </w:p>
    <w:p/>
    <w:p>
      <w:r>
        <w:br w:type="page"/>
      </w:r>
    </w:p>
    <w:p>
      <w:pPr>
        <w:pStyle w:val="Heading1"/>
      </w:pPr>
      <w:r>
        <w:t>10. 附錄：統計摘要</w:t>
      </w:r>
    </w:p>
    <w:p>
      <w:r>
        <w:rPr>
          <w:b/>
          <w:i w:val="0"/>
          <w:color w:val="000000"/>
          <w:sz w:val="22"/>
        </w:rPr>
        <w:t>問題嚴重等級分佈：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準則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高風險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中風險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低風險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合計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P15 Data Security</w:t>
            </w:r>
          </w:p>
        </w:tc>
        <w:tc>
          <w:tcPr>
            <w:tcW w:type="dxa" w:w="1417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1417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P16 Technology Independence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P20 Control Technical Diversity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P21 Interoperability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P6 Service Orientation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P5 Common Use Applications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P4 Business Continuity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26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P7 Compliance with Law</w:t>
            </w:r>
          </w:p>
        </w:tc>
        <w:tc>
          <w:tcPr>
            <w:tcW w:type="dxa" w:w="1417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417"/>
            <w:shd w:val="clear" w:color="auto" w:fill="FFC00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8</w:t>
            </w:r>
          </w:p>
        </w:tc>
      </w:tr>
    </w:tbl>
    <w:p/>
    <w:p>
      <w:r>
        <w:rPr>
          <w:b w:val="0"/>
          <w:i w:val="0"/>
          <w:color w:val="707070"/>
          <w:sz w:val="18"/>
        </w:rPr>
        <w:t>本報告由 TOGAF Checker 自動生成 · 生成時間：2026-05-18 13:45:08 · 工具版本：1.0.0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07070"/>
        <w:sz w:val="18"/>
      </w:rPr>
      <w:t xml:space="preserve">第 </w:t>
    </w:r>
    <w:r>
      <w:rPr>
        <w:b w:val="0"/>
        <w:i w:val="0"/>
        <w:color w:val="707070"/>
        <w:sz w:val="18"/>
      </w:rPr>
      <w:fldChar w:fldCharType="begin"/>
      <w:instrText> PAGE </w:instrText>
      <w:fldChar w:fldCharType="end"/>
    </w:r>
    <w:r>
      <w:rPr>
        <w:b w:val="0"/>
        <w:i w:val="0"/>
        <w:color w:val="707070"/>
        <w:sz w:val="18"/>
      </w:rPr>
      <w:t xml:space="preserve"> 頁，共 </w:t>
    </w:r>
    <w:r>
      <w:rPr>
        <w:b w:val="0"/>
        <w:i w:val="0"/>
        <w:color w:val="707070"/>
        <w:sz w:val="18"/>
      </w:rPr>
      <w:fldChar w:fldCharType="begin"/>
      <w:instrText> NUMPAGES </w:instrText>
      <w:fldChar w:fldCharType="end"/>
    </w:r>
    <w:r>
      <w:rPr>
        <w:b w:val="0"/>
        <w:i w:val="0"/>
        <w:color w:val="70707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/>
        <w:color w:val="707070"/>
        <w:sz w:val="18"/>
      </w:rPr>
      <w:t>台水資訊整合系統 TOGAF 合規報告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