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008985"/>
          <w:sz w:val="20"/>
        </w:rPr>
        <w:t>AI BOOTCAMP • DAY 12 LAB</w:t>
      </w:r>
    </w:p>
    <w:p>
      <w:pPr>
        <w:spacing w:after="80"/>
      </w:pPr>
      <w:r>
        <w:rPr>
          <w:rFonts w:ascii="Calibri" w:hAnsi="Calibri"/>
          <w:b/>
          <w:i w:val="0"/>
          <w:color w:val="173F5F"/>
          <w:sz w:val="50"/>
        </w:rPr>
        <w:t>Smart Parking + EV Energy Settlement</w:t>
      </w:r>
    </w:p>
    <w:p>
      <w:pPr>
        <w:spacing w:after="200"/>
      </w:pPr>
      <w:r>
        <w:rPr>
          <w:rFonts w:ascii="Calibri" w:hAnsi="Calibri"/>
          <w:b w:val="0"/>
          <w:i w:val="0"/>
          <w:color w:val="5A6872"/>
          <w:sz w:val="26"/>
        </w:rPr>
        <w:t>Web GUI parameter guide and settlement interpretation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699134"/>
            <wp:docPr id="1" name="Picture 1" descr="Smart Parking and EV Energy Settlement web form with sample PAY resu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31 at 6.51.52 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99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A6872"/>
          <w:sz w:val="18"/>
        </w:rPr>
        <w:t>Figure 1. Web interface after calculating a simulated settlement.</w:t>
      </w:r>
    </w:p>
    <w:p>
      <w:r>
        <w:br w:type="page"/>
      </w:r>
    </w:p>
    <w:p>
      <w:pPr>
        <w:pStyle w:val="Heading1"/>
      </w:pPr>
      <w:r>
        <w:t>1. Purpose and workflow</w:t>
      </w:r>
    </w:p>
    <w:p>
      <w:r>
        <w:rPr>
          <w:rFonts w:ascii="Calibri" w:hAnsi="Calibri"/>
          <w:b w:val="0"/>
          <w:i w:val="0"/>
          <w:color w:val="14213D"/>
          <w:sz w:val="22"/>
        </w:rPr>
        <w:t>The GUI collects simulated parking, charging, tariff, permission, and battery readings. After Calculate settlement is selected, Flask sends the values to the compiled C++ engine and displays the engine’s JSON result. No real payment, vehicle identity, or personal data is processed.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7F5F3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08985"/>
                <w:sz w:val="22"/>
              </w:rPr>
              <w:t>Calculation principle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4213D"/>
                <w:sz w:val="21"/>
              </w:rPr>
              <w:t>Net amount = parking fee + imported-energy cost − exported-energy credit. A positive result is PAY, zero is ZERO, and a negative result is CREDIT owed to the driver.</w:t>
            </w:r>
          </w:p>
        </w:tc>
      </w:tr>
    </w:tbl>
    <w:p>
      <w:pPr>
        <w:spacing w:after="0"/>
      </w:pPr>
    </w:p>
    <w:p>
      <w:pPr>
        <w:pStyle w:val="Heading1"/>
      </w:pPr>
      <w:r>
        <w:t>2. Vehicle and parking parameters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73F5F"/>
          <w:sz w:val="22"/>
        </w:rPr>
        <w:t xml:space="preserve">Simulated plate — </w:t>
      </w:r>
      <w:r>
        <w:rPr>
          <w:rFonts w:ascii="Calibri" w:hAnsi="Calibri"/>
          <w:b w:val="0"/>
          <w:i w:val="0"/>
          <w:color w:val="14213D"/>
          <w:sz w:val="22"/>
        </w:rPr>
        <w:t>A demonstration identifier such as SGX-DEMO-01. It provides interface context only; the current C++ calculation does not use the plate number.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73F5F"/>
          <w:sz w:val="22"/>
        </w:rPr>
        <w:t xml:space="preserve">Vehicle type — </w:t>
      </w:r>
      <w:r>
        <w:rPr>
          <w:rFonts w:ascii="Calibri" w:hAnsi="Calibri"/>
          <w:b w:val="0"/>
          <w:i w:val="0"/>
          <w:color w:val="14213D"/>
          <w:sz w:val="22"/>
        </w:rPr>
        <w:t>EV_CAR is an electric vehicle; ICE_CAR is an Internal Combustion Engine car; MOTORCYCLE is a motorcycle. Vehicle type changes the parking tariff and determines whether energy export can be valid.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73F5F"/>
          <w:sz w:val="22"/>
        </w:rPr>
        <w:t xml:space="preserve">Parking minutes — </w:t>
      </w:r>
      <w:r>
        <w:rPr>
          <w:rFonts w:ascii="Calibri" w:hAnsi="Calibri"/>
          <w:b w:val="0"/>
          <w:i w:val="0"/>
          <w:color w:val="14213D"/>
          <w:sz w:val="22"/>
        </w:rPr>
        <w:t>Total duration of the settlement record. Q1 intentionally accepts 0–1440 minutes, representing at most one 24-hour period. A production system would define how multi-day stays are split or aggregated.</w:t>
      </w:r>
    </w:p>
    <w:p>
      <w:pPr>
        <w:pStyle w:val="Heading1"/>
      </w:pPr>
      <w:r>
        <w:t>3. Energy and tariff parameters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73F5F"/>
          <w:sz w:val="22"/>
        </w:rPr>
        <w:t xml:space="preserve">Energy imported (Wh) — </w:t>
      </w:r>
      <w:r>
        <w:rPr>
          <w:rFonts w:ascii="Calibri" w:hAnsi="Calibri"/>
          <w:b w:val="0"/>
          <w:i w:val="0"/>
          <w:color w:val="14213D"/>
          <w:sz w:val="22"/>
        </w:rPr>
        <w:t>Electricity transferred from the charging station into the EV battery. Wh means watt-hour; 5,000 Wh equals 5 kWh.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73F5F"/>
          <w:sz w:val="22"/>
        </w:rPr>
        <w:t xml:space="preserve">Import tariff (cents/kWh) — </w:t>
      </w:r>
      <w:r>
        <w:rPr>
          <w:rFonts w:ascii="Calibri" w:hAnsi="Calibri"/>
          <w:b w:val="0"/>
          <w:i w:val="0"/>
          <w:color w:val="14213D"/>
          <w:sz w:val="22"/>
        </w:rPr>
        <w:t>Price charged to the driver for imported electricity. For 5,000 Wh at 10 cents/kWh, the import cost is 5 kWh × 10 = 50 cents.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73F5F"/>
          <w:sz w:val="22"/>
        </w:rPr>
        <w:t xml:space="preserve">Energy exported (Wh) — </w:t>
      </w:r>
      <w:r>
        <w:rPr>
          <w:rFonts w:ascii="Calibri" w:hAnsi="Calibri"/>
          <w:b w:val="0"/>
          <w:i w:val="0"/>
          <w:color w:val="14213D"/>
          <w:sz w:val="22"/>
        </w:rPr>
        <w:t>Electricity transferred from the EV battery back to the charging station or local energy system through vehicle-to-grid operation. Export creates a driver credit.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73F5F"/>
          <w:sz w:val="22"/>
        </w:rPr>
        <w:t xml:space="preserve">Export tariff (cents/kWh) — </w:t>
      </w:r>
      <w:r>
        <w:rPr>
          <w:rFonts w:ascii="Calibri" w:hAnsi="Calibri"/>
          <w:b w:val="0"/>
          <w:i w:val="0"/>
          <w:color w:val="14213D"/>
          <w:sz w:val="22"/>
        </w:rPr>
        <w:t>Price paid to the driver for exported electricity. For 20,000 Wh at 15 cents/kWh, the export credit is 20 kWh × 15 = 300 cents.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7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08985"/>
                <w:sz w:val="22"/>
              </w:rPr>
              <w:t>Units and rounding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4213D"/>
                <w:sz w:val="21"/>
              </w:rPr>
              <w:t>The engine calculates cents as round-half-up(Wh × cents/kWh ÷ 1,000). Integer cents are used to avoid unreliable floating-point comparisons for money.</w:t>
            </w:r>
          </w:p>
        </w:tc>
      </w:tr>
    </w:tbl>
    <w:p>
      <w:pPr>
        <w:spacing w:after="0"/>
      </w:pPr>
    </w:p>
    <w:p>
      <w:pPr>
        <w:pStyle w:val="Heading1"/>
      </w:pPr>
      <w:r>
        <w:t>4. Battery and V2G safety parameters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73F5F"/>
          <w:sz w:val="22"/>
        </w:rPr>
        <w:t xml:space="preserve">SOC after export (%) — </w:t>
      </w:r>
      <w:r>
        <w:rPr>
          <w:rFonts w:ascii="Calibri" w:hAnsi="Calibri"/>
          <w:b w:val="0"/>
          <w:i w:val="0"/>
          <w:color w:val="14213D"/>
          <w:sz w:val="22"/>
        </w:rPr>
        <w:t>SOC means State of Charge. This is the estimated battery percentage remaining after the proposed export.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73F5F"/>
          <w:sz w:val="22"/>
        </w:rPr>
        <w:t xml:space="preserve">Minimum departure SOC (%) — </w:t>
      </w:r>
      <w:r>
        <w:rPr>
          <w:rFonts w:ascii="Calibri" w:hAnsi="Calibri"/>
          <w:b w:val="0"/>
          <w:i w:val="0"/>
          <w:color w:val="14213D"/>
          <w:sz w:val="22"/>
        </w:rPr>
        <w:t>The lowest battery level the owner requires at departure. An export is rejected when the predicted SOC after export is below this threshold.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73F5F"/>
          <w:sz w:val="22"/>
        </w:rPr>
        <w:t xml:space="preserve">Vehicle capable — </w:t>
      </w:r>
      <w:r>
        <w:rPr>
          <w:rFonts w:ascii="Calibri" w:hAnsi="Calibri"/>
          <w:b w:val="0"/>
          <w:i w:val="0"/>
          <w:color w:val="14213D"/>
          <w:sz w:val="22"/>
        </w:rPr>
        <w:t>The EV supports bidirectional energy transfer. Some EVs can charge but cannot export energy.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73F5F"/>
          <w:sz w:val="22"/>
        </w:rPr>
        <w:t xml:space="preserve">Station capable — </w:t>
      </w:r>
      <w:r>
        <w:rPr>
          <w:rFonts w:ascii="Calibri" w:hAnsi="Calibri"/>
          <w:b w:val="0"/>
          <w:i w:val="0"/>
          <w:color w:val="14213D"/>
          <w:sz w:val="22"/>
        </w:rPr>
        <w:t>The charging station supports bidirectional transfer. Both vehicle and station must be capable.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73F5F"/>
          <w:sz w:val="22"/>
        </w:rPr>
        <w:t xml:space="preserve">Owner opted in — </w:t>
      </w:r>
      <w:r>
        <w:rPr>
          <w:rFonts w:ascii="Calibri" w:hAnsi="Calibri"/>
          <w:b w:val="0"/>
          <w:i w:val="0"/>
          <w:color w:val="14213D"/>
          <w:sz w:val="22"/>
        </w:rPr>
        <w:t>The owner has explicitly consented to energy export. Technical capability alone is not sufficient.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7F5F3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08985"/>
                <w:sz w:val="22"/>
              </w:rPr>
              <w:t>V2G export rule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4213D"/>
                <w:sz w:val="21"/>
              </w:rPr>
              <w:t>Export requires EV_CAR, vehicle capability, station capability, owner opt-in, and SOC after export greater than or equal to minimum departure SOC. If any condition fails, the engine returns an error.</w:t>
            </w:r>
          </w:p>
        </w:tc>
      </w:tr>
    </w:tbl>
    <w:p>
      <w:pPr>
        <w:spacing w:after="0"/>
      </w:pPr>
    </w:p>
    <w:p>
      <w:pPr>
        <w:pStyle w:val="Heading1"/>
      </w:pPr>
      <w:r>
        <w:t>5. Reading the engine result</w:t>
      </w:r>
    </w:p>
    <w:p>
      <w:r>
        <w:rPr>
          <w:rFonts w:ascii="Calibri" w:hAnsi="Calibri"/>
          <w:b w:val="0"/>
          <w:i w:val="0"/>
          <w:color w:val="14213D"/>
          <w:sz w:val="22"/>
        </w:rPr>
        <w:t>The result panel exposes structured fields rather than only a prose message: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73F5F"/>
          <w:sz w:val="22"/>
        </w:rPr>
        <w:t xml:space="preserve">status — </w:t>
      </w:r>
      <w:r>
        <w:rPr>
          <w:rFonts w:ascii="Calibri" w:hAnsi="Calibri"/>
          <w:b w:val="0"/>
          <w:i w:val="0"/>
          <w:color w:val="14213D"/>
          <w:sz w:val="22"/>
        </w:rPr>
        <w:t>ok for a valid calculation; error when an input or policy condition is invalid.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73F5F"/>
          <w:sz w:val="22"/>
        </w:rPr>
        <w:t xml:space="preserve">parking_fee_cents — </w:t>
      </w:r>
      <w:r>
        <w:rPr>
          <w:rFonts w:ascii="Calibri" w:hAnsi="Calibri"/>
          <w:b w:val="0"/>
          <w:i w:val="0"/>
          <w:color w:val="14213D"/>
          <w:sz w:val="22"/>
        </w:rPr>
        <w:t>Parking charge after the grace period, started-hour rules, and daily cap.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73F5F"/>
          <w:sz w:val="22"/>
        </w:rPr>
        <w:t xml:space="preserve">import_cost_cents — </w:t>
      </w:r>
      <w:r>
        <w:rPr>
          <w:rFonts w:ascii="Calibri" w:hAnsi="Calibri"/>
          <w:b w:val="0"/>
          <w:i w:val="0"/>
          <w:color w:val="14213D"/>
          <w:sz w:val="22"/>
        </w:rPr>
        <w:t>Amount charged for electricity imported into the EV.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73F5F"/>
          <w:sz w:val="22"/>
        </w:rPr>
        <w:t xml:space="preserve">export_credit_cents — </w:t>
      </w:r>
      <w:r>
        <w:rPr>
          <w:rFonts w:ascii="Calibri" w:hAnsi="Calibri"/>
          <w:b w:val="0"/>
          <w:i w:val="0"/>
          <w:color w:val="14213D"/>
          <w:sz w:val="22"/>
        </w:rPr>
        <w:t>Amount credited for electricity exported from the EV.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73F5F"/>
          <w:sz w:val="22"/>
        </w:rPr>
        <w:t xml:space="preserve">net_amount_cents — </w:t>
      </w:r>
      <w:r>
        <w:rPr>
          <w:rFonts w:ascii="Calibri" w:hAnsi="Calibri"/>
          <w:b w:val="0"/>
          <w:i w:val="0"/>
          <w:color w:val="14213D"/>
          <w:sz w:val="22"/>
        </w:rPr>
        <w:t>Final amount after adding fees and import cost, then subtracting export credit.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73F5F"/>
          <w:sz w:val="22"/>
        </w:rPr>
        <w:t xml:space="preserve">settlement — </w:t>
      </w:r>
      <w:r>
        <w:rPr>
          <w:rFonts w:ascii="Calibri" w:hAnsi="Calibri"/>
          <w:b w:val="0"/>
          <w:i w:val="0"/>
          <w:color w:val="14213D"/>
          <w:sz w:val="22"/>
        </w:rPr>
        <w:t>PAY, ZERO, or CREDIT according to the sign of the net amount.</w:t>
      </w:r>
    </w:p>
    <w:p>
      <w:pPr>
        <w:pStyle w:val="Heading1"/>
      </w:pPr>
      <w:r>
        <w:t>6. Worked example from Figure 1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shd w:fill="173F5F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Item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shd w:fill="173F5F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Calculation / result</w:t>
            </w:r>
          </w:p>
        </w:tc>
      </w:tr>
      <w:tr>
        <w:tc>
          <w:tcPr>
            <w:tcW w:type="dxa" w:w="3300"/>
            <w:shd w:fill="EAF2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i w:val="0"/>
                <w:color w:val="14213D"/>
                <w:sz w:val="21"/>
              </w:rPr>
              <w:t>Parking</w:t>
            </w:r>
          </w:p>
        </w:tc>
        <w:tc>
          <w:tcPr>
            <w:tcW w:type="dxa" w:w="6060"/>
            <w:shd w:fill="EAF2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4213D"/>
                <w:sz w:val="21"/>
              </w:rPr>
              <w:t>120 minutes → 350 cents</w:t>
            </w:r>
          </w:p>
        </w:tc>
      </w:tr>
      <w:tr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i w:val="0"/>
                <w:color w:val="14213D"/>
                <w:sz w:val="21"/>
              </w:rPr>
              <w:t>Imported energy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4213D"/>
                <w:sz w:val="21"/>
              </w:rPr>
              <w:t>5,000 Wh = 5 kWh; 5 × 10 cents = 50 cents</w:t>
            </w:r>
          </w:p>
        </w:tc>
      </w:tr>
      <w:tr>
        <w:tc>
          <w:tcPr>
            <w:tcW w:type="dxa" w:w="3300"/>
            <w:shd w:fill="EAF2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i w:val="0"/>
                <w:color w:val="14213D"/>
                <w:sz w:val="21"/>
              </w:rPr>
              <w:t>Exported energy</w:t>
            </w:r>
          </w:p>
        </w:tc>
        <w:tc>
          <w:tcPr>
            <w:tcW w:type="dxa" w:w="6060"/>
            <w:shd w:fill="EAF2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4213D"/>
                <w:sz w:val="21"/>
              </w:rPr>
              <w:t>20,000 Wh = 20 kWh; 20 × 15 cents = 300 cents credit</w:t>
            </w:r>
          </w:p>
        </w:tc>
      </w:tr>
      <w:tr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i w:val="0"/>
                <w:color w:val="14213D"/>
                <w:sz w:val="21"/>
              </w:rPr>
              <w:t>Net amount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4213D"/>
                <w:sz w:val="21"/>
              </w:rPr>
              <w:t>350 + 50 − 300 = 100 cents</w:t>
            </w:r>
          </w:p>
        </w:tc>
      </w:tr>
      <w:tr>
        <w:tc>
          <w:tcPr>
            <w:tcW w:type="dxa" w:w="3300"/>
            <w:shd w:fill="EAF2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i w:val="0"/>
                <w:color w:val="14213D"/>
                <w:sz w:val="21"/>
              </w:rPr>
              <w:t>Settlement</w:t>
            </w:r>
          </w:p>
        </w:tc>
        <w:tc>
          <w:tcPr>
            <w:tcW w:type="dxa" w:w="6060"/>
            <w:shd w:fill="EAF2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4213D"/>
                <w:sz w:val="21"/>
              </w:rPr>
              <w:t>PAY — the driver owes 100 cents</w:t>
            </w:r>
          </w:p>
        </w:tc>
      </w:tr>
    </w:tbl>
    <w:p>
      <w:pPr>
        <w:pStyle w:val="Heading1"/>
      </w:pPr>
      <w:r>
        <w:t>7. Useful demonstrations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4213D"/>
          <w:sz w:val="22"/>
        </w:rPr>
        <w:t>PAY: use a normal parking fee with little or no export credit.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4213D"/>
          <w:sz w:val="22"/>
        </w:rPr>
        <w:t>ZERO: choose an export credit exactly equal to parking plus import cost.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4213D"/>
          <w:sz w:val="22"/>
        </w:rPr>
        <w:t>CREDIT: choose a valid export credit greater than parking plus import cost.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4213D"/>
          <w:sz w:val="22"/>
        </w:rPr>
        <w:t>Safe rejection: clear one V2G permission or set SOC after export below minimum departure SOC.</w:t>
      </w:r>
    </w:p>
    <w:p>
      <w:pPr>
        <w:pStyle w:val="Heading1"/>
      </w:pPr>
      <w:r>
        <w:t>8. Interface behaviour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4213D"/>
          <w:sz w:val="22"/>
        </w:rPr>
        <w:t>After calculation, the submitted values remain in the form so the displayed result can be checked against the exact inputs.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4213D"/>
          <w:sz w:val="22"/>
        </w:rPr>
        <w:t>The Flask host and port are read from config/app_config.json. If port 5000 is occupied, change the port, restart Flask, and open the printed address.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4213D"/>
          <w:sz w:val="22"/>
        </w:rPr>
        <w:t>The displayed plate remains a simulation label and is not included in settlement arithmetic.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3D6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08985"/>
                <w:sz w:val="22"/>
              </w:rPr>
              <w:t>Scope reminder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4213D"/>
                <w:sz w:val="21"/>
              </w:rPr>
              <w:t>This GUI is a teaching simulator. Real deployment would also require authenticated identities, trusted meters, tariff versions, transaction records, consent evidence, human approval for consequential operations, and secure payment integration.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872"/>
        <w:sz w:val="17"/>
      </w:rPr>
      <w:t>Smart Parking + EV Energy Settlement  •  Training simulation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A6872"/>
        <w:sz w:val="18"/>
      </w:rPr>
      <w:t>AI Bootcamp | Day 12 Lab GUI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421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73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89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F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Bootcamp Day 12 — Smart Parking GUI Guide</dc:title>
  <dc:subject>Web interface parameters and settlement interpretation</dc:subject>
  <dc:creator>AI Bootcamp</dc:creator>
  <cp:keywords>Agentic AI, Smart Parking, EV, V2G, GUI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