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not-used table to a subfolder named “not used” or so…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Visit, visit_temp, hospital,physocoams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Patient Table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email, phone number, gender column in ER diagram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City column in ER diagram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Insurance Table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confused of </w:t>
      </w:r>
      <w:r w:rsidDel="00000000" w:rsidR="00000000" w:rsidRPr="00000000">
        <w:rPr>
          <w:sz w:val="18"/>
          <w:szCs w:val="18"/>
          <w:rtl w:val="0"/>
        </w:rPr>
        <w:t xml:space="preserve">health_insurance, insurance_table, insurance_hospital_table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32100" cy="204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insurance table links to retrieve hospital/clinic that insuranceID patient provide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type mean in .cvs table?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we use InsuranceID as the key finder, does this mean we need a huge data set? Each person has one unique id. In our dataset we need to list N(number) rows of hospital/clinic would take insurance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Insurance ID  - insurance company &amp; find type - then retrieve hospital/clinic ID?</w:t>
      </w:r>
    </w:p>
    <w:p w:rsidR="00000000" w:rsidDel="00000000" w:rsidP="00000000" w:rsidRDefault="00000000" w:rsidRPr="00000000" w14:paraId="0000001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Visit_Table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procedure_id column  in .cvs &amp; 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id mean in .cvs? Patient visit id????  The number is huge and not continuous, can we start 1 and 1 +=?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doctor rating to doctor table in 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Hospital_Table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to me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Drug_condition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function to condition in ER to match .cvs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Disease_table &amp; Disease_drug_table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4960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disease can have diff drug ID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is our old diseases table, if disease_num is auto generate it brings trouble to find if One disease can have diff drug ID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 disease_number in ER, key is Disease ID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-  merge Disease_table &amp; Disease_drug_table in .cvs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     - </w:t>
        <w:tab/>
        <w:t xml:space="preserve">Add symptoms column in .cvs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Treatment_table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Sorry for misleading this morning on treatment table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length of the treatment table needs to be the same as the length of the patient visiting because of special comments/descriptions provided, drug, quantity...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activity is limited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Drug ID, quantity column in .csv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Physicians/doctors_table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doctor rating, hospital name column in .cvs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understand the department describe the same thing in the specialty of a hospital/clinic table? Department originally is designed for doctors who worked in hospitals.  ????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Nurse_table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doctor rating, hospital name column in .cvs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Can we understand the department describe the same thing in the specialty of a hospital/clinic table? Department originally is designed for doctors who worked in hospitals.  ????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