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5052" w14:textId="77777777" w:rsidR="00B83A27" w:rsidRPr="00B83A27" w:rsidRDefault="00B83A27" w:rsidP="00B83A27">
      <w:pPr>
        <w:rPr>
          <w:b/>
          <w:bCs/>
        </w:rPr>
      </w:pPr>
      <w:r w:rsidRPr="00B83A27">
        <w:rPr>
          <w:b/>
          <w:bCs/>
        </w:rPr>
        <w:t>Análisis de conflictos</w:t>
      </w:r>
    </w:p>
    <w:p w14:paraId="030055F3" w14:textId="012DC35F" w:rsidR="00B83A27" w:rsidRDefault="00B83A27" w:rsidP="00B83A27">
      <w:r w:rsidRPr="00140CB3">
        <w:t>Un producto esencial de la etapa del diagnóstico es la ubicación y descripción de los conflictos ambientales que existen en el área a ordenar</w:t>
      </w:r>
      <w:r>
        <w:t xml:space="preserve">. Los conflictos pueden ser directos cuando </w:t>
      </w:r>
      <w:r w:rsidR="00835DAF">
        <w:t>l</w:t>
      </w:r>
      <w:r>
        <w:t xml:space="preserve">os sectores tienen interés en desarrollar su actividad en el mismo espacio o </w:t>
      </w:r>
      <w:r w:rsidR="008E6F7A">
        <w:t xml:space="preserve">en </w:t>
      </w:r>
      <w:r>
        <w:t xml:space="preserve">utilizar el mismo recurso natural; </w:t>
      </w:r>
      <w:r w:rsidR="008E6F7A">
        <w:t>son</w:t>
      </w:r>
      <w:r>
        <w:t xml:space="preserve"> indirectos cuando un sector afecta indirectamente un recurso que requiere otro sector, dificultando o impidiendo el desarrollo de su actividad.</w:t>
      </w:r>
    </w:p>
    <w:p w14:paraId="3EEDFE01" w14:textId="46701A09" w:rsidR="00B83A27" w:rsidRDefault="00B83A27" w:rsidP="00B83A27">
      <w:r>
        <w:t xml:space="preserve">En el análisis de conflictos se examinó cada par de sectores en disputa mediante la sobreposición de </w:t>
      </w:r>
      <w:r w:rsidR="007644AB">
        <w:t>sus</w:t>
      </w:r>
      <w:r>
        <w:t xml:space="preserve"> mapas de aptitud. Como resultado, se obtuvieron las superficies de traslape</w:t>
      </w:r>
      <w:r w:rsidR="008C162E">
        <w:t>,</w:t>
      </w:r>
      <w:r>
        <w:t xml:space="preserve"> siendo de mayor interés aquellas donde coincide la aptitud alta y muy alta de ambos sectores, las cuales se identifican por su tonalidad obscura en el mapa de conflictos</w:t>
      </w:r>
      <w:r w:rsidR="007E5DA5">
        <w:t>. Para ilustrarlo, se t</w:t>
      </w:r>
      <w:r w:rsidR="007644AB">
        <w:t xml:space="preserve">oma como </w:t>
      </w:r>
      <w:r w:rsidR="00F00924">
        <w:t>ejemplo</w:t>
      </w:r>
      <w:r w:rsidR="007644AB">
        <w:t xml:space="preserve"> </w:t>
      </w:r>
      <w:r w:rsidR="00F00924">
        <w:t xml:space="preserve">el conflicto entre los sectores </w:t>
      </w:r>
      <w:r w:rsidR="00835DAF">
        <w:t>a</w:t>
      </w:r>
      <w:r w:rsidR="00F00924">
        <w:t xml:space="preserve">gricultura tecnificada - </w:t>
      </w:r>
      <w:r w:rsidR="00835DAF">
        <w:t>a</w:t>
      </w:r>
      <w:r w:rsidR="00F00924">
        <w:t>picultura</w:t>
      </w:r>
      <w:r w:rsidR="007E5DA5">
        <w:t>.</w:t>
      </w:r>
    </w:p>
    <w:p w14:paraId="2D33D262" w14:textId="381ABD6A" w:rsidR="007644AB" w:rsidRDefault="007644AB" w:rsidP="00B83A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6"/>
        <w:gridCol w:w="2766"/>
        <w:gridCol w:w="580"/>
        <w:gridCol w:w="2746"/>
      </w:tblGrid>
      <w:tr w:rsidR="007644AB" w14:paraId="1DF4A117" w14:textId="77777777" w:rsidTr="00ED1E4B"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027061BF" w14:textId="77777777" w:rsidR="007644AB" w:rsidRPr="007644AB" w:rsidRDefault="007644AB" w:rsidP="007644AB">
            <w:pPr>
              <w:jc w:val="center"/>
              <w:rPr>
                <w:b/>
                <w:bCs/>
              </w:rPr>
            </w:pPr>
            <w:r w:rsidRPr="007644AB">
              <w:rPr>
                <w:b/>
                <w:bCs/>
                <w:color w:val="0070C0"/>
              </w:rPr>
              <w:t>Agricultura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B38EE57" w14:textId="77777777" w:rsidR="007644AB" w:rsidRPr="007644AB" w:rsidRDefault="007644AB" w:rsidP="007644AB">
            <w:pPr>
              <w:jc w:val="center"/>
              <w:rPr>
                <w:b/>
                <w:bCs/>
              </w:rPr>
            </w:pPr>
            <w:r w:rsidRPr="007644AB">
              <w:rPr>
                <w:b/>
                <w:bCs/>
                <w:color w:val="0070C0"/>
              </w:rPr>
              <w:t>Apicultura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6770D353" w14:textId="77777777" w:rsidR="007644AB" w:rsidRPr="007644AB" w:rsidRDefault="007644AB" w:rsidP="007644AB">
            <w:pPr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4DC9960" w14:textId="2B43E9E5" w:rsidR="007644AB" w:rsidRPr="007644AB" w:rsidRDefault="007644AB" w:rsidP="007644AB">
            <w:pPr>
              <w:jc w:val="center"/>
              <w:rPr>
                <w:b/>
                <w:bCs/>
              </w:rPr>
            </w:pPr>
            <w:r w:rsidRPr="007644AB">
              <w:rPr>
                <w:b/>
                <w:bCs/>
                <w:color w:val="0070C0"/>
              </w:rPr>
              <w:t>Conflictos</w:t>
            </w:r>
          </w:p>
        </w:tc>
      </w:tr>
      <w:tr w:rsidR="007644AB" w14:paraId="43980EE0" w14:textId="77777777" w:rsidTr="00ED1E4B"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4CD49F16" w14:textId="77777777" w:rsidR="007644AB" w:rsidRDefault="007644AB" w:rsidP="007644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7F8E54" wp14:editId="16D2E4E7">
                  <wp:extent cx="1606623" cy="1200150"/>
                  <wp:effectExtent l="0" t="0" r="0" b="0"/>
                  <wp:docPr id="3" name="Imagen 3" descr="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Map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653" cy="1221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4129F894" w14:textId="77777777" w:rsidR="007644AB" w:rsidRDefault="007644AB" w:rsidP="007644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1FEED" wp14:editId="386B5A94">
                  <wp:extent cx="1612900" cy="1204838"/>
                  <wp:effectExtent l="0" t="0" r="6350" b="0"/>
                  <wp:docPr id="4" name="Imagen 4" descr="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Mapa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783" cy="12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90FFE59" w14:textId="5FC94155" w:rsidR="007644AB" w:rsidRDefault="007644AB" w:rsidP="007644A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DC562F" wp14:editId="699271DF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477520</wp:posOffset>
                      </wp:positionV>
                      <wp:extent cx="495300" cy="0"/>
                      <wp:effectExtent l="0" t="76200" r="19050" b="7620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C7DF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-11.25pt;margin-top:37.6pt;width:3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926E124" w14:textId="6E680EE3" w:rsidR="007644AB" w:rsidRDefault="007644AB" w:rsidP="007644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BD272C" wp14:editId="2F082965">
                  <wp:extent cx="1606867" cy="1200150"/>
                  <wp:effectExtent l="0" t="0" r="0" b="0"/>
                  <wp:docPr id="6" name="Imagen 6" descr="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Map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148" cy="120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14DBE" w14:textId="77777777" w:rsidR="007644AB" w:rsidRDefault="007644AB" w:rsidP="00B83A27"/>
    <w:p w14:paraId="4B364515" w14:textId="31BD534E" w:rsidR="00B83A27" w:rsidRDefault="008C162E" w:rsidP="00013C18">
      <w:pPr>
        <w:rPr>
          <w:rFonts w:ascii="Arial" w:hAnsi="Arial" w:cs="Arial"/>
          <w:color w:val="000000"/>
        </w:rPr>
      </w:pPr>
      <w:r>
        <w:t>A partir de l</w:t>
      </w:r>
      <w:r w:rsidR="007E5DA5">
        <w:t>as superficies de traslape se elabora</w:t>
      </w:r>
      <w:r>
        <w:t>ro</w:t>
      </w:r>
      <w:r w:rsidR="007E5DA5">
        <w:t xml:space="preserve">n </w:t>
      </w:r>
      <w:r w:rsidR="007E5DA5" w:rsidRPr="00835DAF">
        <w:rPr>
          <w:b/>
          <w:bCs/>
        </w:rPr>
        <w:t>tablas de extensión</w:t>
      </w:r>
      <w:r w:rsidR="007E5DA5">
        <w:t xml:space="preserve"> (km</w:t>
      </w:r>
      <w:r w:rsidR="007E5DA5" w:rsidRPr="00ED5F78">
        <w:rPr>
          <w:vertAlign w:val="superscript"/>
        </w:rPr>
        <w:t>2</w:t>
      </w:r>
      <w:r w:rsidR="007E5DA5">
        <w:t>). Los mayores conflictos ocurren donde coinciden las aptitudes alta y muy alta de ambos sectores,</w:t>
      </w:r>
      <w:r>
        <w:t xml:space="preserve"> como se aprecia en la siguiente tabla</w:t>
      </w:r>
      <w:r w:rsidR="007E5DA5">
        <w:t>.</w:t>
      </w:r>
    </w:p>
    <w:p w14:paraId="7C050381" w14:textId="78C2547E" w:rsidR="00B83A27" w:rsidRDefault="007E5DA5" w:rsidP="00B83A27">
      <w:r>
        <w:rPr>
          <w:noProof/>
        </w:rPr>
        <w:drawing>
          <wp:inline distT="0" distB="0" distL="0" distR="0" wp14:anchorId="52305E68" wp14:editId="4842CDF0">
            <wp:extent cx="5612130" cy="1504315"/>
            <wp:effectExtent l="0" t="0" r="7620" b="63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1D9C" w14:textId="77777777" w:rsidR="00B83A27" w:rsidRPr="00B83A27" w:rsidRDefault="00B83A27" w:rsidP="00B83A27">
      <w:pPr>
        <w:spacing w:before="120" w:after="120"/>
        <w:rPr>
          <w:color w:val="FF0000"/>
          <w:sz w:val="18"/>
          <w:szCs w:val="18"/>
        </w:rPr>
      </w:pPr>
    </w:p>
    <w:p w14:paraId="113DEF6C" w14:textId="2E9D04DD" w:rsidR="00B83A27" w:rsidRPr="00C771F8" w:rsidRDefault="008C162E" w:rsidP="00B83A27">
      <w:pPr>
        <w:spacing w:before="120" w:after="120"/>
      </w:pPr>
      <w:r>
        <w:t>Por último, a</w:t>
      </w:r>
      <w:r w:rsidR="00B83A27" w:rsidRPr="00C771F8">
        <w:t xml:space="preserve"> partir de los valores de las superficies de intersección se </w:t>
      </w:r>
      <w:r w:rsidR="00B83A27">
        <w:t>c</w:t>
      </w:r>
      <w:r w:rsidR="00B83A27" w:rsidRPr="00C771F8">
        <w:t>alcular</w:t>
      </w:r>
      <w:r w:rsidR="00B83A27">
        <w:t>on</w:t>
      </w:r>
      <w:r w:rsidR="00B83A27" w:rsidRPr="00C771F8">
        <w:t xml:space="preserve"> índices que proporciona</w:t>
      </w:r>
      <w:r w:rsidR="00B83A27">
        <w:t>n</w:t>
      </w:r>
      <w:r w:rsidR="00B83A27" w:rsidRPr="00C771F8">
        <w:t xml:space="preserve"> información </w:t>
      </w:r>
      <w:r w:rsidR="00B83A27">
        <w:t>útil</w:t>
      </w:r>
      <w:r w:rsidR="00B83A27" w:rsidRPr="00C771F8">
        <w:t xml:space="preserve"> para la etapa de propuesta</w:t>
      </w:r>
      <w:r w:rsidR="00B83A27">
        <w:t xml:space="preserve">, cuyos resultados se presentan en las </w:t>
      </w:r>
      <w:r w:rsidR="00B83A27" w:rsidRPr="00835DAF">
        <w:rPr>
          <w:b/>
          <w:bCs/>
        </w:rPr>
        <w:t>tablas de índices</w:t>
      </w:r>
      <w:r w:rsidR="00B83A27">
        <w:t>:</w:t>
      </w:r>
    </w:p>
    <w:p w14:paraId="1016BE8E" w14:textId="77777777" w:rsidR="00B83A27" w:rsidRPr="00C771F8" w:rsidRDefault="00B83A27" w:rsidP="00B83A27">
      <w:bookmarkStart w:id="0" w:name="_gjdgxs" w:colFirst="0" w:colLast="0"/>
      <w:bookmarkEnd w:id="0"/>
      <w:r>
        <w:t xml:space="preserve">El </w:t>
      </w:r>
      <w:r w:rsidRPr="00140CB3">
        <w:rPr>
          <w:b/>
          <w:bCs/>
        </w:rPr>
        <w:t>índice de severidad regional bruta</w:t>
      </w:r>
      <w:r>
        <w:t xml:space="preserve"> representa la</w:t>
      </w:r>
      <w:r w:rsidRPr="0021069C">
        <w:t xml:space="preserve"> proporción del territorio </w:t>
      </w:r>
      <w:r>
        <w:t xml:space="preserve">donde </w:t>
      </w:r>
      <w:r w:rsidRPr="0021069C">
        <w:t xml:space="preserve">coinciden las categorías de aptitud </w:t>
      </w:r>
      <w:r>
        <w:t xml:space="preserve">alta y muy alta </w:t>
      </w:r>
      <w:r w:rsidRPr="0021069C">
        <w:t>de dos sectores con actividades incompatibles. Equivale a la extensión de un conflicto ambiental.</w:t>
      </w:r>
      <w:r>
        <w:t xml:space="preserve"> Su expresión como </w:t>
      </w:r>
      <w:r w:rsidRPr="00C771F8">
        <w:t>porcentaje</w:t>
      </w:r>
      <w:r>
        <w:t xml:space="preserve"> facilita </w:t>
      </w:r>
      <w:r w:rsidRPr="00C771F8">
        <w:t>identificar</w:t>
      </w:r>
      <w:r>
        <w:t xml:space="preserve"> </w:t>
      </w:r>
      <w:r w:rsidRPr="00C771F8">
        <w:t xml:space="preserve">la severidad </w:t>
      </w:r>
      <w:r w:rsidRPr="00C771F8">
        <w:lastRenderedPageBreak/>
        <w:t>de los conflictos ambientales</w:t>
      </w:r>
      <w:r>
        <w:t>: v</w:t>
      </w:r>
      <w:r w:rsidRPr="00C771F8">
        <w:t>alores altos significan que porciones relativamente grandes del territorio resultan de interés para esos sectores cuyas actividades son incompatibles.</w:t>
      </w:r>
    </w:p>
    <w:p w14:paraId="53990987" w14:textId="77777777" w:rsidR="00B83A27" w:rsidRDefault="00B83A27" w:rsidP="00B83A27">
      <w:r>
        <w:t xml:space="preserve">El </w:t>
      </w:r>
      <w:r w:rsidRPr="00140CB3">
        <w:rPr>
          <w:b/>
          <w:bCs/>
        </w:rPr>
        <w:t>índice de severidad regional neta</w:t>
      </w:r>
      <w:r>
        <w:t xml:space="preserve"> es la</w:t>
      </w:r>
      <w:r w:rsidRPr="0021069C">
        <w:t xml:space="preserve"> proporción que resulta de la comparación de la forma geográfica de las categorías de aptitud </w:t>
      </w:r>
      <w:r>
        <w:t xml:space="preserve">alta y muy alta </w:t>
      </w:r>
      <w:r w:rsidRPr="0021069C">
        <w:t>de dos sectores cuyas actividades son incompatibles. Equivale a la magnitud de un conflicto ambiental.</w:t>
      </w:r>
    </w:p>
    <w:p w14:paraId="310F65DF" w14:textId="77777777" w:rsidR="00B83A27" w:rsidRPr="00C771F8" w:rsidRDefault="00B83A27" w:rsidP="00B83A27">
      <w:r>
        <w:t xml:space="preserve">El </w:t>
      </w:r>
      <w:r w:rsidRPr="00140CB3">
        <w:rPr>
          <w:b/>
          <w:bCs/>
        </w:rPr>
        <w:t>índice de asimetría</w:t>
      </w:r>
      <w:r w:rsidRPr="00C771F8">
        <w:t xml:space="preserve"> del conflicto ambiental</w:t>
      </w:r>
      <w:r>
        <w:t xml:space="preserve"> indica en qué </w:t>
      </w:r>
      <w:r w:rsidRPr="00C771F8">
        <w:t>proporción una categoría de aptitud de un sector está contenida dentro de una categoría de otro sector. Es un proxi del costo de excluir la actividad de uno o de otro de los sectores de un territorio.</w:t>
      </w:r>
    </w:p>
    <w:p w14:paraId="37D91E18" w14:textId="61D153FA" w:rsidR="0087735E" w:rsidRDefault="008E6F7A">
      <w:r>
        <w:rPr>
          <w:noProof/>
        </w:rPr>
        <w:drawing>
          <wp:inline distT="0" distB="0" distL="0" distR="0" wp14:anchorId="1F7BB6BE" wp14:editId="3D385C8B">
            <wp:extent cx="5612130" cy="1490980"/>
            <wp:effectExtent l="0" t="0" r="762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7650" w14:textId="38BAA265" w:rsidR="00F00924" w:rsidRDefault="00F00924"/>
    <w:p w14:paraId="152F9F54" w14:textId="77777777" w:rsidR="00F00924" w:rsidRDefault="00F00924">
      <w:pPr>
        <w:rPr>
          <w:noProof/>
        </w:rPr>
      </w:pPr>
    </w:p>
    <w:p w14:paraId="6AF4D388" w14:textId="3888F240" w:rsidR="00F00924" w:rsidRDefault="00F00924"/>
    <w:p w14:paraId="20F952B2" w14:textId="4757412A" w:rsidR="00F00924" w:rsidRDefault="00F00924"/>
    <w:p w14:paraId="796BBA3A" w14:textId="34D43856" w:rsidR="00F00924" w:rsidRDefault="00F00924"/>
    <w:p w14:paraId="4C81F90F" w14:textId="313C88AB" w:rsidR="00F00924" w:rsidRDefault="00F00924"/>
    <w:p w14:paraId="7A53E840" w14:textId="0001E12E" w:rsidR="00F00924" w:rsidRDefault="00F00924"/>
    <w:p w14:paraId="632853FC" w14:textId="2227AB65" w:rsidR="00F00924" w:rsidRDefault="00F00924"/>
    <w:p w14:paraId="146168D6" w14:textId="77FFA052" w:rsidR="007644AB" w:rsidRDefault="007644AB"/>
    <w:p w14:paraId="24B66E0A" w14:textId="05A8400A" w:rsidR="007644AB" w:rsidRDefault="007644AB"/>
    <w:p w14:paraId="22AD8146" w14:textId="22C599C5" w:rsidR="007644AB" w:rsidRDefault="007644AB"/>
    <w:p w14:paraId="43A3CB1B" w14:textId="2801F2E2" w:rsidR="007644AB" w:rsidRDefault="007644AB"/>
    <w:p w14:paraId="6DCF8564" w14:textId="10D486FE" w:rsidR="007644AB" w:rsidRDefault="007644AB"/>
    <w:sectPr w:rsidR="00764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27"/>
    <w:rsid w:val="00013C18"/>
    <w:rsid w:val="00272657"/>
    <w:rsid w:val="002978B1"/>
    <w:rsid w:val="0059745A"/>
    <w:rsid w:val="007644AB"/>
    <w:rsid w:val="007E5DA5"/>
    <w:rsid w:val="00835DAF"/>
    <w:rsid w:val="0087735E"/>
    <w:rsid w:val="008C162E"/>
    <w:rsid w:val="008E6F7A"/>
    <w:rsid w:val="00B83A27"/>
    <w:rsid w:val="00ED1E4B"/>
    <w:rsid w:val="00F00924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72A6"/>
  <w15:chartTrackingRefBased/>
  <w15:docId w15:val="{287171B0-49F3-47A0-8661-5920F6C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764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UNAM</dc:creator>
  <cp:keywords/>
  <dc:description/>
  <cp:lastModifiedBy>LANCIS UNAM</cp:lastModifiedBy>
  <cp:revision>2</cp:revision>
  <dcterms:created xsi:type="dcterms:W3CDTF">2021-06-16T00:56:00Z</dcterms:created>
  <dcterms:modified xsi:type="dcterms:W3CDTF">2021-06-16T00:56:00Z</dcterms:modified>
</cp:coreProperties>
</file>