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412" w14:textId="77777777" w:rsidR="009B36FA" w:rsidRDefault="009B36FA" w:rsidP="00A40156"/>
    <w:p w14:paraId="481C9D44" w14:textId="77777777" w:rsidR="001158A7" w:rsidRDefault="001158A7" w:rsidP="00A40156"/>
    <w:p w14:paraId="0CCA14AB" w14:textId="77777777" w:rsidR="0082777C" w:rsidRDefault="0082777C" w:rsidP="00A40156"/>
    <w:p w14:paraId="3F87AB3A" w14:textId="77777777" w:rsidR="00CF5BF6" w:rsidRDefault="00CF5BF6" w:rsidP="00A40156"/>
    <w:p w14:paraId="52C0B85F" w14:textId="77777777" w:rsidR="00CF5BF6" w:rsidRDefault="00CF5BF6" w:rsidP="00A40156"/>
    <w:p w14:paraId="466DE85B" w14:textId="77777777" w:rsidR="00CF5BF6" w:rsidRDefault="00CF5BF6" w:rsidP="00A40156"/>
    <w:p w14:paraId="0177CEB8" w14:textId="77777777" w:rsidR="00CF5BF6" w:rsidRDefault="00CF5BF6" w:rsidP="00A40156"/>
    <w:p w14:paraId="6C420C48" w14:textId="77777777" w:rsidR="00CF5BF6" w:rsidRDefault="00CF5BF6" w:rsidP="00A40156"/>
    <w:p w14:paraId="3CDE2323" w14:textId="77777777" w:rsidR="00CF5BF6" w:rsidRDefault="00CF5BF6" w:rsidP="00A40156"/>
    <w:p w14:paraId="30F6DA32" w14:textId="77777777" w:rsidR="00CF5BF6" w:rsidRDefault="00CF5BF6" w:rsidP="00A40156"/>
    <w:p w14:paraId="091D79E6" w14:textId="77777777" w:rsidR="00CF5BF6" w:rsidRDefault="00CF5BF6" w:rsidP="00A40156"/>
    <w:p w14:paraId="4ADA15D7" w14:textId="77777777" w:rsidR="00CF5BF6" w:rsidRDefault="00CF5BF6" w:rsidP="00A40156"/>
    <w:p w14:paraId="2B84B62B" w14:textId="77777777" w:rsidR="00CF5BF6" w:rsidRDefault="00CF5BF6" w:rsidP="00A40156"/>
    <w:p w14:paraId="1D4D5A07" w14:textId="77777777" w:rsidR="0082777C" w:rsidRDefault="0082777C" w:rsidP="00A40156"/>
    <w:tbl>
      <w:tblPr>
        <w:tblStyle w:val="Tablaconcuadrcula"/>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27" w:type="dxa"/>
          <w:left w:w="142" w:type="dxa"/>
          <w:bottom w:w="227" w:type="dxa"/>
          <w:right w:w="142" w:type="dxa"/>
        </w:tblCellMar>
        <w:tblLook w:val="04A0" w:firstRow="1" w:lastRow="0" w:firstColumn="1" w:lastColumn="0" w:noHBand="0" w:noVBand="1"/>
      </w:tblPr>
      <w:tblGrid>
        <w:gridCol w:w="10188"/>
      </w:tblGrid>
      <w:tr w:rsidR="00F6086F" w14:paraId="3ED9430C" w14:textId="77777777" w:rsidTr="0082777C">
        <w:trPr>
          <w:jc w:val="center"/>
        </w:trPr>
        <w:tc>
          <w:tcPr>
            <w:tcW w:w="10205" w:type="dxa"/>
            <w:vAlign w:val="center"/>
          </w:tcPr>
          <w:p w14:paraId="3B83802E" w14:textId="55CDC078" w:rsidR="00F1639C" w:rsidRPr="00216066" w:rsidRDefault="000F7432" w:rsidP="00B666DA">
            <w:pPr>
              <w:pStyle w:val="Ttulo"/>
              <w:jc w:val="center"/>
            </w:pPr>
            <w:r>
              <w:t>Matriz de conflictos</w:t>
            </w:r>
          </w:p>
        </w:tc>
      </w:tr>
    </w:tbl>
    <w:p w14:paraId="2FEDF123" w14:textId="77777777" w:rsidR="00685102" w:rsidRDefault="00685102" w:rsidP="00A40156"/>
    <w:p w14:paraId="56489405" w14:textId="77777777" w:rsidR="00A65F39" w:rsidRDefault="00A65F39" w:rsidP="00A73983"/>
    <w:p w14:paraId="39636885" w14:textId="77777777" w:rsidR="00CF5BF6" w:rsidRDefault="00CF5BF6" w:rsidP="00A73983"/>
    <w:p w14:paraId="35AD94F4" w14:textId="77777777" w:rsidR="00CF5BF6" w:rsidRDefault="00CF5BF6" w:rsidP="00A73983"/>
    <w:p w14:paraId="5F3817ED" w14:textId="77777777" w:rsidR="00CF5BF6" w:rsidRDefault="00CF5BF6" w:rsidP="00A73983"/>
    <w:p w14:paraId="05FABD49" w14:textId="77777777" w:rsidR="00CF5BF6" w:rsidRDefault="00CF5BF6" w:rsidP="00A73983"/>
    <w:p w14:paraId="7F3C595B" w14:textId="77777777" w:rsidR="00CF5BF6" w:rsidRDefault="00CF5BF6" w:rsidP="00A73983"/>
    <w:p w14:paraId="493CEEF8" w14:textId="77777777" w:rsidR="00CF5BF6" w:rsidRDefault="00CF5BF6" w:rsidP="00A73983"/>
    <w:p w14:paraId="41A88420" w14:textId="77777777" w:rsidR="00CF5BF6" w:rsidRDefault="00CF5BF6" w:rsidP="00A73983"/>
    <w:p w14:paraId="78E185E8" w14:textId="77777777" w:rsidR="001158A7" w:rsidRDefault="001158A7" w:rsidP="00A73983"/>
    <w:p w14:paraId="7EDAFDA7" w14:textId="77777777" w:rsidR="001158A7" w:rsidRPr="00A73983" w:rsidRDefault="001158A7" w:rsidP="00A73983"/>
    <w:p w14:paraId="3241F0EC" w14:textId="77777777" w:rsidR="001158A7" w:rsidRDefault="001158A7" w:rsidP="001158A7">
      <w:pPr>
        <w:jc w:val="center"/>
      </w:pPr>
      <w:r w:rsidRPr="00EF34FE">
        <w:rPr>
          <w:noProof/>
          <w:position w:val="6"/>
          <w:lang w:val="en-US"/>
          <w14:numForm w14:val="default"/>
        </w:rPr>
        <w:drawing>
          <wp:inline distT="0" distB="0" distL="0" distR="0" wp14:anchorId="269CC230" wp14:editId="66D26954">
            <wp:extent cx="1054800" cy="1062000"/>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M.png"/>
                    <pic:cNvPicPr/>
                  </pic:nvPicPr>
                  <pic:blipFill>
                    <a:blip r:embed="rId8">
                      <a:extLst>
                        <a:ext uri="{28A0092B-C50C-407E-A947-70E740481C1C}">
                          <a14:useLocalDpi xmlns:a14="http://schemas.microsoft.com/office/drawing/2010/main" val="0"/>
                        </a:ext>
                      </a:extLst>
                    </a:blip>
                    <a:stretch>
                      <a:fillRect/>
                    </a:stretch>
                  </pic:blipFill>
                  <pic:spPr>
                    <a:xfrm>
                      <a:off x="0" y="0"/>
                      <a:ext cx="1054800" cy="1062000"/>
                    </a:xfrm>
                    <a:prstGeom prst="rect">
                      <a:avLst/>
                    </a:prstGeom>
                  </pic:spPr>
                </pic:pic>
              </a:graphicData>
            </a:graphic>
          </wp:inline>
        </w:drawing>
      </w:r>
      <w:r>
        <w:t xml:space="preserve">          </w:t>
      </w:r>
      <w:r>
        <w:rPr>
          <w:noProof/>
          <w:lang w:val="en-US"/>
          <w14:numForm w14:val="default"/>
        </w:rPr>
        <w:drawing>
          <wp:inline distT="0" distB="0" distL="0" distR="0" wp14:anchorId="311F96B4" wp14:editId="23E55368">
            <wp:extent cx="2635200" cy="108000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LANCIS vertical completo (RGB).jpg"/>
                    <pic:cNvPicPr/>
                  </pic:nvPicPr>
                  <pic:blipFill>
                    <a:blip r:embed="rId9">
                      <a:extLst>
                        <a:ext uri="{28A0092B-C50C-407E-A947-70E740481C1C}">
                          <a14:useLocalDpi xmlns:a14="http://schemas.microsoft.com/office/drawing/2010/main" val="0"/>
                        </a:ext>
                      </a:extLst>
                    </a:blip>
                    <a:stretch>
                      <a:fillRect/>
                    </a:stretch>
                  </pic:blipFill>
                  <pic:spPr>
                    <a:xfrm>
                      <a:off x="0" y="0"/>
                      <a:ext cx="2635200" cy="1080000"/>
                    </a:xfrm>
                    <a:prstGeom prst="rect">
                      <a:avLst/>
                    </a:prstGeom>
                  </pic:spPr>
                </pic:pic>
              </a:graphicData>
            </a:graphic>
          </wp:inline>
        </w:drawing>
      </w:r>
    </w:p>
    <w:p w14:paraId="26C44DF3" w14:textId="77777777" w:rsidR="00A65F39" w:rsidRPr="00A73983" w:rsidRDefault="00A65F39" w:rsidP="00A73983"/>
    <w:p w14:paraId="53EF304E" w14:textId="77777777" w:rsidR="00A65F39" w:rsidRPr="00A73983" w:rsidRDefault="00A65F39" w:rsidP="00A73983">
      <w:r w:rsidRPr="00A73983">
        <w:br w:type="page"/>
      </w:r>
    </w:p>
    <w:p w14:paraId="1A1CEFB0" w14:textId="77777777" w:rsidR="00A65F39" w:rsidRPr="00294E67" w:rsidRDefault="00A65F39" w:rsidP="00A65F39">
      <w:pPr>
        <w:pStyle w:val="Default"/>
        <w:jc w:val="center"/>
        <w:rPr>
          <w:rFonts w:ascii="Calibri" w:hAnsi="Calibri"/>
          <w:b/>
          <w:color w:val="4F81BD" w:themeColor="accent1"/>
          <w:sz w:val="32"/>
          <w:szCs w:val="22"/>
        </w:rPr>
      </w:pPr>
      <w:r w:rsidRPr="00294E67">
        <w:rPr>
          <w:rFonts w:ascii="Calibri" w:hAnsi="Calibri"/>
          <w:b/>
          <w:color w:val="4F81BD" w:themeColor="accent1"/>
          <w:sz w:val="32"/>
          <w:szCs w:val="22"/>
        </w:rPr>
        <w:lastRenderedPageBreak/>
        <w:t>Índice</w:t>
      </w:r>
    </w:p>
    <w:p w14:paraId="6323F420" w14:textId="77777777" w:rsidR="00A65F39" w:rsidRDefault="00A65F39" w:rsidP="00A73983"/>
    <w:p w14:paraId="75594A83" w14:textId="77777777" w:rsidR="00A65F39" w:rsidRDefault="00A65F39" w:rsidP="00A73983"/>
    <w:p w14:paraId="49955E6C" w14:textId="2E42AB10" w:rsidR="00AA04F1" w:rsidRDefault="008377DE">
      <w:pPr>
        <w:pStyle w:val="TDC1"/>
        <w:rPr>
          <w:rFonts w:cstheme="minorBidi"/>
          <w:b w:val="0"/>
          <w:bCs w:val="0"/>
          <w:color w:val="auto"/>
          <w:sz w:val="22"/>
          <w:szCs w:val="22"/>
          <w:lang w:eastAsia="es-MX"/>
          <w14:numForm w14:val="default"/>
        </w:rPr>
      </w:pPr>
      <w:r>
        <w:rPr>
          <w:rFonts w:ascii="MetaPro-Book" w:hAnsi="MetaPro-Book"/>
          <w:szCs w:val="22"/>
        </w:rPr>
        <w:fldChar w:fldCharType="begin"/>
      </w:r>
      <w:r>
        <w:rPr>
          <w:rFonts w:ascii="MetaPro-Book" w:hAnsi="MetaPro-Book"/>
          <w:szCs w:val="22"/>
        </w:rPr>
        <w:instrText xml:space="preserve"> TOC \o "1-4" \u </w:instrText>
      </w:r>
      <w:r>
        <w:rPr>
          <w:rFonts w:ascii="MetaPro-Book" w:hAnsi="MetaPro-Book"/>
          <w:szCs w:val="22"/>
        </w:rPr>
        <w:fldChar w:fldCharType="separate"/>
      </w:r>
      <w:r w:rsidR="00AA04F1">
        <w:t>1</w:t>
      </w:r>
      <w:r w:rsidR="00AA04F1">
        <w:rPr>
          <w:rFonts w:cstheme="minorBidi"/>
          <w:b w:val="0"/>
          <w:bCs w:val="0"/>
          <w:color w:val="auto"/>
          <w:sz w:val="22"/>
          <w:szCs w:val="22"/>
          <w:lang w:eastAsia="es-MX"/>
          <w14:numForm w14:val="default"/>
        </w:rPr>
        <w:tab/>
      </w:r>
      <w:r w:rsidR="00AA04F1">
        <w:t>Referencias</w:t>
      </w:r>
      <w:r w:rsidR="00AA04F1">
        <w:tab/>
      </w:r>
      <w:r w:rsidR="00AA04F1">
        <w:fldChar w:fldCharType="begin"/>
      </w:r>
      <w:r w:rsidR="00AA04F1">
        <w:instrText xml:space="preserve"> PAGEREF _Toc57118301 \h </w:instrText>
      </w:r>
      <w:r w:rsidR="00AA04F1">
        <w:fldChar w:fldCharType="separate"/>
      </w:r>
      <w:r w:rsidR="00AA04F1">
        <w:t>4</w:t>
      </w:r>
      <w:r w:rsidR="00AA04F1">
        <w:fldChar w:fldCharType="end"/>
      </w:r>
    </w:p>
    <w:p w14:paraId="5E8AAC65" w14:textId="025436DF" w:rsidR="00A65F39" w:rsidRDefault="008377DE" w:rsidP="00A73983">
      <w:r>
        <w:rPr>
          <w:b/>
          <w:bCs/>
        </w:rPr>
        <w:fldChar w:fldCharType="end"/>
      </w:r>
    </w:p>
    <w:p w14:paraId="09048293" w14:textId="4EFDA851" w:rsidR="00A65F39" w:rsidRDefault="00A65F39" w:rsidP="00A73983">
      <w:r>
        <w:br w:type="page"/>
      </w:r>
    </w:p>
    <w:p w14:paraId="742F04BD" w14:textId="572EE5D6" w:rsidR="00494C0C" w:rsidRDefault="00494C0C" w:rsidP="00494C0C">
      <w:pPr>
        <w:ind w:firstLine="0"/>
      </w:pPr>
      <w:r w:rsidRPr="00494C0C">
        <w:rPr>
          <w:highlight w:val="cyan"/>
        </w:rPr>
        <w:lastRenderedPageBreak/>
        <w:fldChar w:fldCharType="begin" w:fldLock="1"/>
      </w:r>
      <w:r>
        <w:rPr>
          <w:highlight w:val="cyan"/>
        </w:rPr>
        <w:instrText>ADDIN CSL_CITATION {"citationItems":[{"id":"ITEM-1","itemData":{"abstract":"Al menos seis municipios de Yucatán sufren serios daños ambientales a consecuencia de la indiscriminada explotación de bancos de piedra para la obtención de material de construcción","author":[{"dropping-particle":"","family":"Actual Yucatán","given":"Noticias","non-dropping-particle":"","parse-names":false,"suffix":""}],"container-title":"Actual Yucatán","id":"ITEM-1","issued":{"date-parts":[["2019","2","23"]]},"page":"1","publisher-place":"Mérida, Yucatán","title":"Explotación de bancos de piedra daña el ambiente de 6 municipios.","type":"article-newspaper"},"uris":["http://www.mendeley.com/documents/?uuid=a66a4d7d-aead-4b59-91f8-69b125cfc4c4"]}],"mendeley":{"formattedCitation":"(Actual Yucatán, 2019)","plainTextFormattedCitation":"(Actual Yucatán, 2019)","previouslyFormattedCitation":"(Actual Yucatán, 2019)"},"properties":{"noteIndex":0},"schema":"https://github.com/citation-style-language/schema/raw/master/csl-citation.json"}</w:instrText>
      </w:r>
      <w:r w:rsidRPr="00494C0C">
        <w:rPr>
          <w:highlight w:val="cyan"/>
        </w:rPr>
        <w:fldChar w:fldCharType="separate"/>
      </w:r>
      <w:r w:rsidRPr="00494C0C">
        <w:rPr>
          <w:noProof/>
          <w:highlight w:val="cyan"/>
        </w:rPr>
        <w:t>(Actual Yucatán, 2019)</w:t>
      </w:r>
      <w:r w:rsidRPr="00494C0C">
        <w:rPr>
          <w:highlight w:val="cyan"/>
        </w:rPr>
        <w:fldChar w:fldCharType="end"/>
      </w:r>
    </w:p>
    <w:bookmarkStart w:id="0" w:name="_Toc394499095"/>
    <w:bookmarkStart w:id="1" w:name="_Toc395711430"/>
    <w:p w14:paraId="3F3AD60F" w14:textId="00182CC7" w:rsidR="00750F91" w:rsidRDefault="00750F91">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{"citationItems":[{"id":"ITEM-1","itemData":{"DOI":"10.1007/s10098-017-1480-4","ISSN":"16189558","abstract":"Bioethanol is being promoted in Mexico to be used in a blend with gasoline. On the north of the Yucatan peninsula, bioethanol could be produced from sweet sorghum, as it can grow efficiently on this land; it can be harvested 2–3 times in a year and possesses a better agronomical stability than sugarcane with low nitrogen requirements and high productivity. In this work, the potential environmental impacts and energy efficiency of bioethanol production from sweet sorghum were evaluated using life-cycle assessment. Four scenarios were evaluated: scenario PI considered only bioethanol production from the stalk juice; scenarios PII and PIII added cogeneration from the dry-stalk biomass in single and combined cycle, respectively. Scenario PIV considered bioethanol production from both stalk juice and dry-stalk biomass. Scenario PI demanded more fossil energy than what was generated as bioethanol, while scenarios PII and PIII were fossil energy independent. Scenario PIII showed the higher net energy ratio (1.89) and a better environmental performance in all CML-IA baseline impact categories. In terms of global warming potential, the scenario PIII showed a mitigation potential of 16% with respect to the fossil reference. In the categories where the sweet sorghum scenarios represented larger emissions than the fossil reference, it was due mainly to the use of fertilizers and the conventional energy consumption in the various processing steps of the biomass. Scenario PIV showed the highest energy demand and worst environmental performance due to large demands of energy and chemicals in the bagasse pretreatment step.","author":[{"dropping-particle":"","family":"Aguilar-Sánchez","given":"Patricia","non-dropping-particle":"","parse-names":false,"suffix":""},{"dropping-particle":"","family":"Navarro-Pineda","given":"Freddy Segundo","non-dropping-particle":"","parse-names":false,"suffix":""},{"dropping-particle":"","family":"Sacramento-Rivero","given":"Julio César","non-dropping-particle":"","parse-names":false,"suffix":""},{"dropping-particle":"","family":"Barahona-Pérez","given":"Luis Felipe","non-dropping-particle":"","parse-names":false,"suffix":""}],"container-title":"Clean Technologies and Environmental Policy","id":"ITEM-1","issue":"7","issued":{"date-parts":[["2018","9","1"]]},"page":"1685-1696","publisher":"Springer Verlag","title":"Life-cycle assessment of bioethanol production from sweet sorghum stalks cultivated in the state of Yucatan, Mexico","type":"article-journal","volume":"20"},"uris":["http://www.mendeley.com/documents/?uuid=1853d5c0-ac64-4de2-a9ce-d7400d5797c4"]}],"mendeley":{"formattedCitation":"(Aguilar-Sánchez et al., 2018)","plainTextFormattedCitation":"(Aguilar-Sánchez et al., 2018)","previouslyFormattedCitation":"(Aguilar-Sánchez et al., 2018)"},"properties":{"noteIndex":0},"schema":"https://github.com/citation-style-language/schema/raw/master/csl-citation.json"}</w:instrText>
      </w:r>
      <w:r>
        <w:fldChar w:fldCharType="separate"/>
      </w:r>
      <w:r w:rsidR="005F7577" w:rsidRPr="00B945C0">
        <w:rPr>
          <w:noProof/>
        </w:rPr>
        <w:t>(Aguilar-Sánchez et al., 2018)</w:t>
      </w:r>
      <w:r>
        <w:fldChar w:fldCharType="end"/>
      </w:r>
    </w:p>
    <w:p w14:paraId="3A7A7721" w14:textId="5AEE53AF" w:rsidR="001A5260" w:rsidRDefault="001A5260">
      <w:pPr>
        <w:tabs>
          <w:tab w:val="clear" w:pos="454"/>
        </w:tabs>
        <w:autoSpaceDE/>
        <w:autoSpaceDN/>
        <w:adjustRightInd/>
        <w:spacing w:after="200" w:line="276" w:lineRule="auto"/>
        <w:ind w:firstLine="0"/>
        <w:jc w:val="left"/>
      </w:pPr>
      <w:r w:rsidRPr="002C30C6">
        <w:rPr>
          <w:highlight w:val="cyan"/>
        </w:rPr>
        <w:fldChar w:fldCharType="begin" w:fldLock="1"/>
      </w:r>
      <w:r w:rsidR="00494C0C">
        <w:rPr>
          <w:highlight w:val="cyan"/>
        </w:rPr>
        <w:instrText>ADDIN CSL_CITATION {"citationItems":[{"id":"ITEM-1","itemData":{"URL":"https://aristeguinoticias.com/0409/mexico/cementeras-no-reparan-danos-ambientales-en-yucatan-secretaria-de-desarrollo-sustentableCementeras no reparan daños ambientales en Yucatán%22: Secretaría de Desarrollo Sustentable","accessed":{"date-parts":[["2020","10","9"]]},"author":[{"dropping-particle":"","family":"Aristegui Noticias","given":"","non-dropping-particle":"","parse-names":false,"suffix":""}],"container-title":"Aristegui Noticias","id":"ITEM-1","issued":{"date-parts":[["2019"]]},"title":"Cementeras no reparan daños ambientales en Yucatán\": Secretaría de Desarrollo Sustentable","type":"webpage"},"uris":["http://www.mendeley.com/documents/?uuid=a0cba972-89df-4283-8ccc-7e5edd9ac753"]}],"mendeley":{"formattedCitation":"(Aristegui Noticias, 2019)","plainTextFormattedCitation":"(Aristegui Noticias, 2019)","previouslyFormattedCitation":"(Aristegui Noticias, 2019)"},"properties":{"noteIndex":0},"schema":"https://github.com/citation-style-language/schema/raw/master/csl-citation.json"}</w:instrText>
      </w:r>
      <w:r w:rsidRPr="002C30C6">
        <w:rPr>
          <w:highlight w:val="cyan"/>
        </w:rPr>
        <w:fldChar w:fldCharType="separate"/>
      </w:r>
      <w:r w:rsidR="002C30C6" w:rsidRPr="002C30C6">
        <w:rPr>
          <w:noProof/>
          <w:highlight w:val="cyan"/>
        </w:rPr>
        <w:t>(Aristegui Noticias, 2019)</w:t>
      </w:r>
      <w:r w:rsidRPr="002C30C6">
        <w:rPr>
          <w:highlight w:val="cyan"/>
        </w:rPr>
        <w:fldChar w:fldCharType="end"/>
      </w:r>
    </w:p>
    <w:p w14:paraId="2C338BE8" w14:textId="442D5130" w:rsidR="00750F91" w:rsidRDefault="00750F91">
      <w:pPr>
        <w:tabs>
          <w:tab w:val="clear" w:pos="454"/>
        </w:tabs>
        <w:autoSpaceDE/>
        <w:autoSpaceDN/>
        <w:adjustRightInd/>
        <w:spacing w:after="200" w:line="276" w:lineRule="auto"/>
        <w:ind w:firstLine="0"/>
        <w:jc w:val="left"/>
      </w:pPr>
      <w:r w:rsidRPr="002C30C6">
        <w:rPr>
          <w:highlight w:val="cyan"/>
        </w:rPr>
        <w:fldChar w:fldCharType="begin" w:fldLock="1"/>
      </w:r>
      <w:r w:rsidR="00494C0C">
        <w:rPr>
          <w:highlight w:val="cyan"/>
        </w:rPr>
        <w:instrText>ADDIN CSL_CITATION {"citationItems":[{"id":"ITEM-1","itemData":{"author":[{"dropping-particle":"","family":"Articulación Yucatán","given":"N","non-dropping-particle":"","parse-names":false,"suffix":""},{"dropping-particle":"","family":"GeoComunes","given":"","non-dropping-particle":"","parse-names":false,"suffix":""}],"id":"ITEM-1","issued":{"date-parts":[["2019"]]},"title":"Expansión de proyectos de energía renovable de gran escala en la península de Yucatán","type":"report"},"uris":["http://www.mendeley.com/documents/?uuid=8daf8d73-3611-3e96-9e6a-ec1d32f61251"]}],"mendeley":{"formattedCitation":"(Articulación Yucatán &amp; GeoComunes, 2019)","plainTextFormattedCitation":"(Articulación Yucatán &amp; GeoComunes, 2019)","previouslyFormattedCitation":"(A. Yucatán &amp; GeoComunes, 2019)"},"properties":{"noteIndex":0},"schema":"https://github.com/citation-style-language/schema/raw/master/csl-citation.json"}</w:instrText>
      </w:r>
      <w:r w:rsidRPr="002C30C6">
        <w:rPr>
          <w:highlight w:val="cyan"/>
        </w:rPr>
        <w:fldChar w:fldCharType="separate"/>
      </w:r>
      <w:r w:rsidR="00494C0C" w:rsidRPr="00494C0C">
        <w:rPr>
          <w:noProof/>
          <w:highlight w:val="cyan"/>
        </w:rPr>
        <w:t>(Articulación Yucatán &amp; GeoComunes, 2019)</w:t>
      </w:r>
      <w:r w:rsidRPr="002C30C6">
        <w:rPr>
          <w:highlight w:val="cyan"/>
        </w:rPr>
        <w:fldChar w:fldCharType="end"/>
      </w:r>
    </w:p>
    <w:p w14:paraId="2ED50303" w14:textId="044566FD" w:rsidR="00750F91" w:rsidRDefault="00750F91">
      <w:pPr>
        <w:tabs>
          <w:tab w:val="clear" w:pos="454"/>
        </w:tabs>
        <w:autoSpaceDE/>
        <w:autoSpaceDN/>
        <w:adjustRightInd/>
        <w:spacing w:after="200" w:line="276" w:lineRule="auto"/>
        <w:ind w:firstLine="0"/>
        <w:jc w:val="left"/>
      </w:pPr>
      <w:r w:rsidRPr="002F2C00">
        <w:rPr>
          <w:highlight w:val="cyan"/>
        </w:rPr>
        <w:fldChar w:fldCharType="begin" w:fldLock="1"/>
      </w:r>
      <w:r w:rsidR="00BF6F8A" w:rsidRPr="002F2C00">
        <w:rPr>
          <w:highlight w:val="cyan"/>
        </w:rPr>
        <w:instrText>ADDIN CSL_CITATION {"citationItems":[{"id":"ITEM-1","itemData":{"abstract":"El trabajo de investigación que aquí se presenta tiene como objetivo analizar el impacto que tienen sobre la actividad apícola de la Península de Yucatán, las transformaciones ambientales causadas por el desarrollo de la ganadería bovina de carácter extensivo y la agricultura mecanizada. Esto se realiza a través de los estudios de caso de ocho productores apícolas de la zona ganadera de Tizimín, Yucatán y de Hopelchén, Campeche de noviembre de 1998 a julio de 1999. Para","author":[{"dropping-particle":"","family":"Ayala Arcipreste","given":"María Esther","non-dropping-particle":"","parse-names":false,"suffix":""}],"id":"ITEM-1","issued":{"date-parts":[["2001"]]},"number-of-pages":"196","publisher":"Centro de Investigación y de Estudios Avanzados del Instituto Politécnico Nacional","title":"La apicultura de la península de Yucatán: Un acercamiento desde la ecología humana.","type":"thesis"},"uris":["http://www.mendeley.com/documents/?uuid=b4fc55a5-c27d-37c9-a35c-35d8a50abd68"]}],"mendeley":{"formattedCitation":"(Ayala Arcipreste, 2001)","plainTextFormattedCitation":"(Ayala Arcipreste, 2001)","previouslyFormattedCitation":"(Ayala Arcipreste, 2001)"},"properties":{"noteIndex":0},"schema":"https://github.com/citation-style-language/schema/raw/master/csl-citation.json"}</w:instrText>
      </w:r>
      <w:r w:rsidRPr="002F2C00">
        <w:rPr>
          <w:highlight w:val="cyan"/>
        </w:rPr>
        <w:fldChar w:fldCharType="separate"/>
      </w:r>
      <w:r w:rsidR="005F7577" w:rsidRPr="002F2C00">
        <w:rPr>
          <w:noProof/>
          <w:highlight w:val="cyan"/>
        </w:rPr>
        <w:t>(Ayala Arcipreste, 2001)</w:t>
      </w:r>
      <w:r w:rsidRPr="002F2C00">
        <w:rPr>
          <w:highlight w:val="cyan"/>
        </w:rPr>
        <w:fldChar w:fldCharType="end"/>
      </w:r>
      <w:r w:rsidR="00385C73">
        <w:t xml:space="preserve"> </w:t>
      </w:r>
      <w:r w:rsidR="00385C73" w:rsidRPr="002F2C00">
        <w:rPr>
          <w:color w:val="FF0000"/>
        </w:rPr>
        <w:t>checar el año en la matriz viene como 2010</w:t>
      </w:r>
    </w:p>
    <w:p w14:paraId="2F8FECAE" w14:textId="01AEBD6D" w:rsidR="00750F91" w:rsidRDefault="00750F91">
      <w:pPr>
        <w:tabs>
          <w:tab w:val="clear" w:pos="454"/>
        </w:tabs>
        <w:autoSpaceDE/>
        <w:autoSpaceDN/>
        <w:adjustRightInd/>
        <w:spacing w:after="200" w:line="276" w:lineRule="auto"/>
        <w:ind w:firstLine="0"/>
        <w:jc w:val="left"/>
      </w:pPr>
      <w:r>
        <w:fldChar w:fldCharType="begin" w:fldLock="1"/>
      </w:r>
      <w:r w:rsidR="00E94477">
        <w:instrText>ADDIN CSL_CITATION {"citationItems":[{"id":"ITEM-1","itemData":{"abstract":"El documento Territorios Mayas en el Paso del Tren: Condiciones Actuales y Riesgos Previsibles, resume resultados de consenso entre los miembros del grupo a partir de estudios realizados hasta la fecha. El documento ofrece información a los diversos actores de la sociedad, del gobierno y de la academia que tienen interés o la responsabilidad de contribuir activamente a garantizar la prevalencia del bien público, la mejora del bienestar social de los habitantes y el cuidado de la biósfera en estos territorios. En","author":[{"dropping-particle":"","family":"Barba Macías Everardo; López Santillán, Ángeles; Ceceña Martonella, Ana Esther; Córdova Canelas, Fernando; Díaz Perera, Miguel Ángel; Dupuy Rada","given":"Juan Manuel;","non-dropping-particle":"","parse-names":false,"suffix":""},{"dropping-particle":"","family":"Díaz Espadas, Manrique Celene, Esparza Olguín Ligia Guadalupe, García Quintanilla Alejandra, Gasparel, López Martínez Rafael","given":"López","non-dropping-particle":"","parse-names":false,"suffix":""},{"dropping-particle":"","family":"Patricia","given":"Sánchez Ana","non-dropping-particle":"","parse-names":false,"suffix":""},{"dropping-particle":"","family":"Richard Carlos","given":"Macias","non-dropping-particle":"","parse-names":false,"suffix":""},{"dropping-particle":"","family":"Guardado Gustavo","given":"Marín","non-dropping-particle":"","parse-names":false,"suffix":""}],"id":"ITEM-1","issued":{"date-parts":[["2019"]]},"number-of-pages":"26","title":"Territorios mayas en el paso del tren: situación actual y riesgos previsibles","type":"report"},"uris":["http://www.mendeley.com/documents/?uuid=08f1b6cc-e49f-3a54-9bd6-645467792cc9"]}],"mendeley":{"formattedCitation":"(Barba Macías Everardo; López Santillán, Ángeles; Ceceña Martonella, Ana Esther; Córdova Canelas, Fernando; Díaz Perera, Miguel Ángel; Dupuy Rada et al., 2019)","plainTextFormattedCitation":"(Barba Macías Everardo; López Santillán, Ángeles; Ceceña Martonella, Ana Esther; Córdova Canelas, Fernando; Díaz Perera, Miguel Ángel; Dupuy Rada et al., 2019)","previouslyFormattedCitation":"(Barba Macías Everardo; López Santillán, Ángeles; Ceceña Martonella, Ana Esther; Córdova Canelas, Fernando; Díaz Perera, Miguel Ángel; Dupuy Rada et al., 2019)"},"properties":{"noteIndex":0},"schema":"https://github.com/citation-style-language/schema/raw/master/csl-citation.json"}</w:instrText>
      </w:r>
      <w:r>
        <w:fldChar w:fldCharType="separate"/>
      </w:r>
      <w:r w:rsidR="005F7577" w:rsidRPr="00B945C0">
        <w:rPr>
          <w:noProof/>
        </w:rPr>
        <w:t>(</w:t>
      </w:r>
      <w:r w:rsidR="005F7577" w:rsidRPr="00385C73">
        <w:rPr>
          <w:noProof/>
          <w:highlight w:val="cyan"/>
        </w:rPr>
        <w:t>Barba Macías Everardo; López Santillán, Ángeles; Ceceña Martonella, Ana Esther; Córdova Canelas, Fernando; Díaz Perera, Miguel Ángel; Dupuy Rada et al., 2019</w:t>
      </w:r>
      <w:r w:rsidR="005F7577" w:rsidRPr="00B945C0">
        <w:rPr>
          <w:noProof/>
        </w:rPr>
        <w:t>)</w:t>
      </w:r>
      <w:r>
        <w:fldChar w:fldCharType="end"/>
      </w:r>
    </w:p>
    <w:p w14:paraId="6CD88679" w14:textId="7E083C0D" w:rsidR="00750F91" w:rsidRDefault="00750F91">
      <w:pPr>
        <w:tabs>
          <w:tab w:val="clear" w:pos="454"/>
        </w:tabs>
        <w:autoSpaceDE/>
        <w:autoSpaceDN/>
        <w:adjustRightInd/>
        <w:spacing w:after="200" w:line="276" w:lineRule="auto"/>
        <w:ind w:firstLine="0"/>
        <w:jc w:val="left"/>
      </w:pPr>
      <w:r>
        <w:fldChar w:fldCharType="begin" w:fldLock="1"/>
      </w:r>
      <w:r w:rsidR="00343A4E">
        <w:instrText>ADDIN CSL_CITATION {"citationItems":[{"id":"ITEM-1","itemData":{"ISSN":"01884611","abstract":"Se realizó una clasificación del territorio noroccidental del estado de Yucatán, basado en un enfoque físico-geográfico que considera la cuenca hidrogeológica de Chicxulub como unidad de planificación y desarrollo. La particularidad de esta cuenca radica en que posee condiciones de unidad geográfica natural muy específicas. En los 3 198 km2 que abarca el área en estudio y de acuerdo con el ambiente geológico, el régimen climático, las características hidrológicas, los suelos existentes, las formaciones vegetales y los factores antropogénicos, se lograron diferenciar dos Unidades Geográficas Funcionales de primer orden: a) Llanura kárstica, litoral, marino-acumulativa, muy baja (H &lt; 2 msnm), de edad cuaternaria y b) Llanura kárstica, denudativa, baja (H &lt; 9 msnm), de edad terciaria. Del mismo modo, se identificaron cinco unidades de segundo orden, ocho unidades de tercer orden y 26 unidades de cuarto orden. Se describieron las principales características del clima, como un factor determinante de las regulaciones hidrológicas de la región, y se analizó la dinámica hidrológica superficial y subterránea de las principales unidades del paisaje. Se encontró que la situación actual de la costa es de fuerte inestabilidad, donde dominan los procesos erosivos en las playas y donde se predice un incremento acelerado del nivel del mar por fenómenos como el calentamiento global, además del fuerte impacto ocasionado por la infraestructura habitacional y productiva, la deforestación y la construcción de espolones y escolleras en el litoral. Se sugiere realizar estudios sobre las descargas de agua dulce, a través de manantiales submarinos en el litoral yucateco, sobre los procesos de formación del acuitardo costero, los procesos de disolución del karst yucateco, y caracterizar la dinámica hidrológica del anillo de cenotes y su influencia en la zona litoral.","author":[{"dropping-particle":"","family":"Batllori","given":"Sampedro E.","non-dropping-particle":"","parse-names":false,"suffix":""},{"dropping-particle":"","family":"González Piedra","given":"Julio Iván","non-dropping-particle":"","parse-names":false,"suffix":""},{"dropping-particle":"","family":"Díaz Sosa","given":"Julio","non-dropping-particle":"","parse-names":false,"suffix":""},{"dropping-particle":"","family":"Febles Patrón","given":"José Luis","non-dropping-particle":"","parse-names":false,"suffix":""}],"container-title":"Investigaciones Geográficas","id":"ITEM-1","issued":{"date-parts":[["2006"]]},"page":"74-92","title":"Caracterización hidrológica de la región costera noroccidental del estado de Yucatán, México.","type":"article-journal","volume":"59"},"uris":["http://www.mendeley.com/documents/?uuid=c73f11fc-df9b-4573-83eb-541314d70f84"]}],"mendeley":{"formattedCitation":"(Batllori et al., 2006)","plainTextFormattedCitation":"(Batllori et al., 2006)","previouslyFormattedCitation":"(Batllori et al., 2006)"},"properties":{"noteIndex":0},"schema":"https://github.com/citation-style-language/schema/raw/master/csl-citation.json"}</w:instrText>
      </w:r>
      <w:r>
        <w:fldChar w:fldCharType="separate"/>
      </w:r>
      <w:r w:rsidR="005058D9" w:rsidRPr="005058D9">
        <w:rPr>
          <w:noProof/>
        </w:rPr>
        <w:t>(Batllori et al., 2006)</w:t>
      </w:r>
      <w:r>
        <w:fldChar w:fldCharType="end"/>
      </w:r>
    </w:p>
    <w:p w14:paraId="6B7236D8" w14:textId="65068EBC" w:rsidR="00750F91" w:rsidRPr="0074700B" w:rsidRDefault="00750F91">
      <w:pPr>
        <w:tabs>
          <w:tab w:val="clear" w:pos="454"/>
        </w:tabs>
        <w:autoSpaceDE/>
        <w:autoSpaceDN/>
        <w:adjustRightInd/>
        <w:spacing w:after="200" w:line="276" w:lineRule="auto"/>
        <w:ind w:firstLine="0"/>
        <w:jc w:val="left"/>
      </w:pPr>
      <w:r w:rsidRPr="0074700B">
        <w:fldChar w:fldCharType="begin" w:fldLock="1"/>
      </w:r>
      <w:r w:rsidR="005058D9" w:rsidRPr="0074700B">
        <w:instrText>ADDIN CSL_CITATION {"citationItems":[{"id":"ITEM-1","itemData":{"abstract":"omo se ha visto en anteriores capítulos, la población de la península de Yuca-tán tiene en las aguas subterráneas el principal abastecimiento de este vital lí-quido para satisfacer sus necesidades, incluidas sus actividades productivas. El aprovechamiento de los recursos hídricos no representa hasta ahora una amenaza seria en términos de sobreexplotación, dada su abundancia. Sin embargo, esta re-serva de agua es altamente vulnerable por su ubicación en el subsuelo, en forma de un acuífero subterráneo expuesto a recibir contaminantes que provienen de la su-perficie, así como por el vertimiento de aguas residuales domésticas, municipales, agropecuarias e industriales. Durante la temporada de lluvias las precipitaciones traspasan el suelo rápidamente, descienden al manto freático, viajan de manera subterránea hacia la costa, y al final de la temporada de lluvias y durante la época de \" nortes \" afloran a la superficie a través de manantiales que inundan las depre-siones costeras, y se mezclan con el agua de mar en lagunas y ciénagas, incluidos los contaminantes que haya arrastrado a su paso. A pesar de lo anterior, casi nunca se toma en cuenta que para una administración ambientalmente segura, la mejor práctica es proteger este recurso de la contaminación, puesto que la limpieza de","author":[{"dropping-particle":"","family":"Batllori","given":"Sampedro E.","non-dropping-particle":"","parse-names":false,"suffix":""}],"container-title":"Secretaría de Desarrollo Urbano y Medio Ambiente, Gobierno del Estado de Yucatán","id":"ITEM-1","issue":"Capítulo 7","issued":{"date-parts":[["2016"]]},"page":"201 - 261","title":"Condiciones actuales del agua subterránea, en la Península de Yucatán","type":"article-journal"},"uris":["http://www.mendeley.com/documents/?uuid=dc5b8808-3e59-411b-a221-089870e0c341"]}],"mendeley":{"formattedCitation":"(Batllori, 2016)","plainTextFormattedCitation":"(Batllori, 2016)","previouslyFormattedCitation":"(Batllori, 2016)"},"properties":{"noteIndex":0},"schema":"https://github.com/citation-style-language/schema/raw/master/csl-citation.json"}</w:instrText>
      </w:r>
      <w:r w:rsidRPr="0074700B">
        <w:fldChar w:fldCharType="separate"/>
      </w:r>
      <w:r w:rsidR="005058D9" w:rsidRPr="0074700B">
        <w:rPr>
          <w:noProof/>
        </w:rPr>
        <w:t>(Batllori, 2016)</w:t>
      </w:r>
      <w:r w:rsidRPr="0074700B">
        <w:fldChar w:fldCharType="end"/>
      </w:r>
    </w:p>
    <w:p w14:paraId="1F05D97E" w14:textId="33C54B30" w:rsidR="00500273" w:rsidRDefault="00500273">
      <w:pPr>
        <w:tabs>
          <w:tab w:val="clear" w:pos="454"/>
        </w:tabs>
        <w:autoSpaceDE/>
        <w:autoSpaceDN/>
        <w:adjustRightInd/>
        <w:spacing w:after="200" w:line="276" w:lineRule="auto"/>
        <w:ind w:firstLine="0"/>
        <w:jc w:val="left"/>
      </w:pPr>
      <w:r w:rsidRPr="0074700B">
        <w:rPr>
          <w:highlight w:val="cyan"/>
        </w:rPr>
        <w:fldChar w:fldCharType="begin" w:fldLock="1"/>
      </w:r>
      <w:r w:rsidR="005058D9" w:rsidRPr="0074700B">
        <w:rPr>
          <w:highlight w:val="cyan"/>
        </w:rPr>
        <w:instrText>ADDIN CSL_CITATION {"citationItems":[{"id":"ITEM-1","itemData":{"author":[{"dropping-particle":"","family":"Batllori","given":"Sampedro E.","non-dropping-particle":"","parse-names":false,"suffix":""}],"id":"ITEM-1","issued":{"date-parts":[["2019"]]},"number-of-pages":"403","publisher-place":"Mérida, Yucatán","title":"La zona geohidrológica del anillo de cenotes y región metropolitana del estado de Yucatán. Fomento de servicios ambientales","type":"report"},"uris":["http://www.mendeley.com/documents/?uuid=711da207-4939-4cd9-8cea-9b08474fe935"]}],"mendeley":{"formattedCitation":"(Batllori, 2019)","plainTextFormattedCitation":"(Batllori, 2019)","previouslyFormattedCitation":"(Batllori, 2019)"},"properties":{"noteIndex":0},"schema":"https://github.com/citation-style-language/schema/raw/master/csl-citation.json"}</w:instrText>
      </w:r>
      <w:r w:rsidRPr="0074700B">
        <w:rPr>
          <w:highlight w:val="cyan"/>
        </w:rPr>
        <w:fldChar w:fldCharType="separate"/>
      </w:r>
      <w:r w:rsidR="005058D9" w:rsidRPr="0074700B">
        <w:rPr>
          <w:noProof/>
          <w:highlight w:val="cyan"/>
        </w:rPr>
        <w:t>(Batllori, 2019)</w:t>
      </w:r>
      <w:r w:rsidRPr="0074700B">
        <w:rPr>
          <w:highlight w:val="cyan"/>
        </w:rPr>
        <w:fldChar w:fldCharType="end"/>
      </w:r>
    </w:p>
    <w:p w14:paraId="463884F2" w14:textId="4775C0D2" w:rsidR="00750F91" w:rsidRDefault="00750F91">
      <w:pPr>
        <w:tabs>
          <w:tab w:val="clear" w:pos="454"/>
        </w:tabs>
        <w:autoSpaceDE/>
        <w:autoSpaceDN/>
        <w:adjustRightInd/>
        <w:spacing w:after="200" w:line="276" w:lineRule="auto"/>
        <w:ind w:firstLine="0"/>
        <w:jc w:val="left"/>
      </w:pPr>
      <w:r w:rsidRPr="00385C73">
        <w:rPr>
          <w:highlight w:val="cyan"/>
        </w:rPr>
        <w:fldChar w:fldCharType="begin" w:fldLock="1"/>
      </w:r>
      <w:r w:rsidR="005F7577" w:rsidRPr="00385C73">
        <w:rPr>
          <w:highlight w:val="cyan"/>
        </w:rPr>
        <w:instrText>ADDIN CSL_CITATION {"citationItems":[{"id":"ITEM-1","itemData":{"abstract":"Expone el estado actual de la estructura urbana y el uso del territorio en la zmm, enfatizando el comportamiento del mer- cado inmobiliario y la influencia de las políticas públicas que a través de planes y megaproyectos urbanos han acompañado y reforzado la metropolización de esta zona. Finalmente, se presentan a modo de conclusión los hallazgos más destacados en este estudio de la reorganización urbana de Mérida y su región.","author":[{"dropping-particle":"","family":"Bolio Osés","given":"Jorge","non-dropping-particle":"","parse-names":false,"suffix":""}],"chapter-number":"I. Mérida","container-title":"Crecimiento urbano y cambio social: escenarios de transformación de la zona metropolitana de Mérida","editor":[{"dropping-particle":"","family":"López-Santillán","given":"Ricardo","non-dropping-particle":"","parse-names":false,"suffix":""},{"dropping-particle":"","family":"Ramírez Carrillo","given":"Luis A.","non-dropping-particle":"","parse-names":false,"suffix":""}],"id":"ITEM-1","issued":{"date-parts":[["2014"]]},"page":"21-60","publisher":"UNAM","publisher-place":"México","title":"Mérida metropolitana. Evolución histórica y rasgos actuales —una perspectiva urbana—.","type":"chapter"},"uris":["http://www.mendeley.com/documents/?uuid=37010790-ecc9-4b15-a799-14ff6317d3ed"]}],"mendeley":{"formattedCitation":"(Bolio Osés, 2014)","plainTextFormattedCitation":"(Bolio Osés, 2014)","previouslyFormattedCitation":"(Bolio Osés, 2014)"},"properties":{"noteIndex":0},"schema":"https://github.com/citation-style-language/schema/raw/master/csl-citation.json"}</w:instrText>
      </w:r>
      <w:r w:rsidRPr="00385C73">
        <w:rPr>
          <w:highlight w:val="cyan"/>
        </w:rPr>
        <w:fldChar w:fldCharType="separate"/>
      </w:r>
      <w:r w:rsidR="005F7577" w:rsidRPr="00385C73">
        <w:rPr>
          <w:noProof/>
          <w:highlight w:val="cyan"/>
        </w:rPr>
        <w:t>(Bolio Osés, 2014)</w:t>
      </w:r>
      <w:r w:rsidRPr="00385C73">
        <w:rPr>
          <w:highlight w:val="cyan"/>
        </w:rPr>
        <w:fldChar w:fldCharType="end"/>
      </w:r>
    </w:p>
    <w:p w14:paraId="53402A99" w14:textId="0B8F2211" w:rsidR="000F7432" w:rsidRDefault="000F7432">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10.1192/bjp.111.479.1009-a","ISSN":"0007-1250","author":[{"dropping-particle":"","family":"Cepeda","given":"C.","non-dropping-particle":"","parse-names":false,"suffix":""},{"dropping-particle":"","family":"Amoroso","given":"A.","non-dropping-particle":"","parse-names":false,"suffix":""}],"edition":"1","editor":[{"dropping-particle":"","family":"Conservancy","given":"The Nature","non-dropping-particle":"","parse-names":false,"suffix":""}],"id":"ITEM-1","issued":{"date-parts":[["2016"]]},"number-of-pages":"159","publisher":"The Nature Conservancy","title":"Experiencias de Desarrollo Rural Sustentable y Conservación en la Península de Yucatán","type":"book"},"uris":["http://www.mendeley.com/documents/?uuid=33c544c3-3cef-4fa3-99cf-56e7400e9f42"]}],"mendeley":{"formattedCitation":"(Cepeda &amp; Amoroso, 2016)","plainTextFormattedCitation":"(Cepeda &amp; Amoroso, 2016)","previouslyFormattedCitation":"(Cepeda &amp; Amoroso, 2016)"},"properties":{"noteIndex":0},"schema":"https://github.com/citation-style-language/schema/raw/master/csl-citation.json"}</w:instrText>
      </w:r>
      <w:r>
        <w:fldChar w:fldCharType="separate"/>
      </w:r>
      <w:r w:rsidR="00B945C0" w:rsidRPr="00B945C0">
        <w:rPr>
          <w:noProof/>
        </w:rPr>
        <w:t>(</w:t>
      </w:r>
      <w:r w:rsidR="00B945C0" w:rsidRPr="00385C73">
        <w:rPr>
          <w:noProof/>
          <w:highlight w:val="cyan"/>
        </w:rPr>
        <w:t>Cepeda &amp; Amoroso, 2016</w:t>
      </w:r>
      <w:r w:rsidR="00B945C0" w:rsidRPr="00B945C0">
        <w:rPr>
          <w:noProof/>
        </w:rPr>
        <w:t>)</w:t>
      </w:r>
      <w:r>
        <w:fldChar w:fldCharType="end"/>
      </w:r>
    </w:p>
    <w:p w14:paraId="0D1A9E60" w14:textId="6DC51450" w:rsidR="00343A4E" w:rsidRDefault="00343A4E">
      <w:pPr>
        <w:tabs>
          <w:tab w:val="clear" w:pos="454"/>
        </w:tabs>
        <w:autoSpaceDE/>
        <w:autoSpaceDN/>
        <w:adjustRightInd/>
        <w:spacing w:after="200" w:line="276" w:lineRule="auto"/>
        <w:ind w:firstLine="0"/>
        <w:jc w:val="left"/>
      </w:pPr>
      <w:r w:rsidRPr="0074700B">
        <w:rPr>
          <w:highlight w:val="cyan"/>
        </w:rPr>
        <w:fldChar w:fldCharType="begin" w:fldLock="1"/>
      </w:r>
      <w:r w:rsidR="001A5260">
        <w:rPr>
          <w:highlight w:val="cyan"/>
        </w:rPr>
        <w:instrText>ADDIN CSL_CITATION {"citationItems":[{"id":"ITEM-1","itemData":{"author":[{"dropping-particle":"","family":"Chan","given":"Marcelo","non-dropping-particle":"","parse-names":false,"suffix":""}],"container-title":"La Jornada del campo","id":"ITEM-1","issued":{"date-parts":[["2019","11","16"]]},"page":"1","title":"Apicultura para cuidar la selva y sostener a las familias mayas","type":"article-newspaper"},"uris":["http://www.mendeley.com/documents/?uuid=fbea30e3-4aab-4968-aaff-7b59abb457cb"]}],"mendeley":{"formattedCitation":"(Chan, 2019)","plainTextFormattedCitation":"(Chan, 2019)","previouslyFormattedCitation":"(Chan, 2019)"},"properties":{"noteIndex":0},"schema":"https://github.com/citation-style-language/schema/raw/master/csl-citation.json"}</w:instrText>
      </w:r>
      <w:r w:rsidRPr="0074700B">
        <w:rPr>
          <w:highlight w:val="cyan"/>
        </w:rPr>
        <w:fldChar w:fldCharType="separate"/>
      </w:r>
      <w:r w:rsidRPr="0074700B">
        <w:rPr>
          <w:noProof/>
          <w:highlight w:val="cyan"/>
        </w:rPr>
        <w:t>(Chan, 2019)</w:t>
      </w:r>
      <w:r w:rsidRPr="0074700B">
        <w:rPr>
          <w:highlight w:val="cyan"/>
        </w:rPr>
        <w:fldChar w:fldCharType="end"/>
      </w:r>
    </w:p>
    <w:p w14:paraId="671AA038" w14:textId="62717CEB" w:rsidR="00750F91" w:rsidRDefault="00750F91">
      <w:pPr>
        <w:tabs>
          <w:tab w:val="clear" w:pos="454"/>
        </w:tabs>
        <w:autoSpaceDE/>
        <w:autoSpaceDN/>
        <w:adjustRightInd/>
        <w:spacing w:after="200" w:line="276" w:lineRule="auto"/>
        <w:ind w:firstLine="0"/>
        <w:jc w:val="left"/>
      </w:pPr>
      <w:r>
        <w:fldChar w:fldCharType="begin" w:fldLock="1"/>
      </w:r>
      <w:r w:rsidR="00FA560C">
        <w:instrText>ADDIN CSL_CITATION {"citationItems":[{"id":"ITEM-1","itemData":{"author":[{"dropping-particle":"","family":"Ch´iibal Mayao´ob","given":"A.C.","non-dropping-particle":"","parse-names":false,"suffix":""}],"id":"ITEM-1","issued":{"date-parts":[["2011"]]},"number-of-pages":"372","title":"Estudio regional forestal. Municipios Cenotillo, Chankóm, Huhi, Dzitás, Q. Roo, Hocabá, Hoctún, Izamal, Kantunil, Sanahcat, Sotuta, Sudzal, Tekal de Venegas, Tunkás, Xocchel, Yaxcabá","type":"report"},"uris":["http://www.mendeley.com/documents/?uuid=76919abd-f2f1-33c9-85f8-0d8c0e8503c5"]}],"mendeley":{"formattedCitation":"(Ch´iibal Mayao´ob, 2011)","plainTextFormattedCitation":"(Ch´iibal Mayao´ob, 2011)","previouslyFormattedCitation":"(Ch´iibal Mayao´ob, 2011)"},"properties":{"noteIndex":0},"schema":"https://github.com/citation-style-language/schema/raw/master/csl-citation.json"}</w:instrText>
      </w:r>
      <w:r>
        <w:fldChar w:fldCharType="separate"/>
      </w:r>
      <w:r w:rsidR="005F7577" w:rsidRPr="005F7577">
        <w:rPr>
          <w:noProof/>
        </w:rPr>
        <w:t>(</w:t>
      </w:r>
      <w:r w:rsidR="005F7577" w:rsidRPr="00385C73">
        <w:rPr>
          <w:noProof/>
          <w:highlight w:val="cyan"/>
        </w:rPr>
        <w:t>Ch´iibal Mayao´ob, 2011</w:t>
      </w:r>
      <w:r w:rsidR="005F7577" w:rsidRPr="005F7577">
        <w:rPr>
          <w:noProof/>
        </w:rPr>
        <w:t>)</w:t>
      </w:r>
      <w:r>
        <w:fldChar w:fldCharType="end"/>
      </w:r>
    </w:p>
    <w:p w14:paraId="1816262E" w14:textId="0007E3C4" w:rsidR="00750F91" w:rsidRDefault="00750F91">
      <w:pPr>
        <w:tabs>
          <w:tab w:val="clear" w:pos="454"/>
        </w:tabs>
        <w:autoSpaceDE/>
        <w:autoSpaceDN/>
        <w:adjustRightInd/>
        <w:spacing w:after="200" w:line="276" w:lineRule="auto"/>
        <w:ind w:firstLine="0"/>
        <w:jc w:val="left"/>
      </w:pPr>
      <w:r w:rsidRPr="00500273">
        <w:rPr>
          <w:highlight w:val="cyan"/>
        </w:rPr>
        <w:fldChar w:fldCharType="begin" w:fldLock="1"/>
      </w:r>
      <w:r w:rsidR="00FA560C" w:rsidRPr="00500273">
        <w:rPr>
          <w:highlight w:val="cyan"/>
        </w:rPr>
        <w:instrText>ADDIN CSL_CITATION {"citationItems":[{"id":"ITEM-1","itemData":{"URL":"https://www.ccmss.org.mx/las-politicas-de-arriba-hacia-abajo-otro-golpe-para-la-apicultura-en-la-peninsula-de-yucatan/","abstract":"Una de las principales amenazas para la apicultura maya es la venta de miel falsa china que ha desplomado los precios y cooptado los mercados. En vez de enfrentar este tema, el gobierno mexicano lo que ofrece es construir un centro de acopio de miel, cuando en la región hay suficientes centros organizados por las propias comunidades y sus cooperativas.","accessed":{"date-parts":[["2020","10","9"]]},"author":[{"dropping-particle":"","family":"Consejo Civil Mexicano para la Silvicultura Sostenible","given":"C.C.M.S.S.","non-dropping-particle":"","parse-names":false,"suffix":""}],"id":"ITEM-1","issued":{"date-parts":[["2020"]]},"title":"Las políticas de arriba hacia abajo, otro golpe para la apicultura en la Península de Yucatán","type":"webpage"},"uris":["http://www.mendeley.com/documents/?uuid=167b8366-337f-470a-b289-3bf70e0ec1d1"]}],"mendeley":{"formattedCitation":"(Consejo Civil Mexicano para la Silvicultura Sostenible, 2020)","plainTextFormattedCitation":"(Consejo Civil Mexicano para la Silvicultura Sostenible, 2020)","previouslyFormattedCitation":"(Consejo Civil Mexicano para la Silvicultura Sostenible, 2020)"},"properties":{"noteIndex":0},"schema":"https://github.com/citation-style-language/schema/raw/master/csl-citation.json"}</w:instrText>
      </w:r>
      <w:r w:rsidRPr="00500273">
        <w:rPr>
          <w:highlight w:val="cyan"/>
        </w:rPr>
        <w:fldChar w:fldCharType="separate"/>
      </w:r>
      <w:r w:rsidR="005F7577" w:rsidRPr="00500273">
        <w:rPr>
          <w:noProof/>
          <w:highlight w:val="cyan"/>
        </w:rPr>
        <w:t>(Consejo Civil Mexicano para la Silvicultura Sostenible, 2020)</w:t>
      </w:r>
      <w:r w:rsidRPr="00500273">
        <w:rPr>
          <w:highlight w:val="cyan"/>
        </w:rPr>
        <w:fldChar w:fldCharType="end"/>
      </w:r>
      <w:r w:rsidR="00500273">
        <w:t xml:space="preserve"> se adicionó en milpa</w:t>
      </w:r>
    </w:p>
    <w:p w14:paraId="5563F47E" w14:textId="0ED342D2" w:rsidR="00750F91" w:rsidRDefault="00750F91">
      <w:pPr>
        <w:tabs>
          <w:tab w:val="clear" w:pos="454"/>
        </w:tabs>
        <w:autoSpaceDE/>
        <w:autoSpaceDN/>
        <w:adjustRightInd/>
        <w:spacing w:after="200" w:line="276" w:lineRule="auto"/>
        <w:ind w:firstLine="0"/>
        <w:jc w:val="left"/>
      </w:pPr>
      <w:r w:rsidRPr="00385C73">
        <w:rPr>
          <w:highlight w:val="cyan"/>
        </w:rPr>
        <w:fldChar w:fldCharType="begin" w:fldLock="1"/>
      </w:r>
      <w:r w:rsidR="00FE1F09" w:rsidRPr="00385C73">
        <w:rPr>
          <w:highlight w:val="cyan"/>
        </w:rPr>
        <w:instrText>ADDIN CSL_CITATION {"citationItems":[{"id":"ITEM-1","itemData":{"author":[{"dropping-particle":"","family":"Corona Romero","given":"N.","non-dropping-particle":"","parse-names":false,"suffix":""},{"dropping-particle":"","family":"Núñez Hernández","given":"J.","non-dropping-particle":"","parse-names":false,"suffix":""},{"dropping-particle":"","family":"Mohar Ponce","given":"A.","non-dropping-particle":"","parse-names":false,"suffix":""},{"dropping-particle":"","family":"Ocampo Thomason","given":"P.","non-dropping-particle":"","parse-names":false,"suffix":""}],"id":"ITEM-1","issued":{"date-parts":[["2015"]]},"number":"03-2015-121715240300-01","number-of-pages":"30","publisher-place":"Mérda, Yucatán","title":"Hacia una estrategia de políticas públicas para el territorio costero del estado de Yucatán que atienda las presiones de urbanización e infraestructura sobre zonas críticas, desde una aperspectiva ambiental y de vulnerabilidad","type":"report"},"uris":["http://www.mendeley.com/documents/?uuid=b5f90863-12c8-447d-b0e3-05984a9746da"]}],"mendeley":{"formattedCitation":"(Corona Romero et al., 2015)","plainTextFormattedCitation":"(Corona Romero et al., 2015)","previouslyFormattedCitation":"(Corona Romero et al., 2015)"},"properties":{"noteIndex":0},"schema":"https://github.com/citation-style-language/schema/raw/master/csl-citation.json"}</w:instrText>
      </w:r>
      <w:r w:rsidRPr="00385C73">
        <w:rPr>
          <w:highlight w:val="cyan"/>
        </w:rPr>
        <w:fldChar w:fldCharType="separate"/>
      </w:r>
      <w:r w:rsidR="00930A00" w:rsidRPr="00385C73">
        <w:rPr>
          <w:noProof/>
          <w:highlight w:val="cyan"/>
        </w:rPr>
        <w:t>(Corona Romero et al., 2015)</w:t>
      </w:r>
      <w:r w:rsidRPr="00385C73">
        <w:rPr>
          <w:highlight w:val="cyan"/>
        </w:rPr>
        <w:fldChar w:fldCharType="end"/>
      </w:r>
    </w:p>
    <w:p w14:paraId="6DE67B84" w14:textId="20C8A4F9" w:rsidR="00750F91" w:rsidRDefault="00750F91">
      <w:pPr>
        <w:tabs>
          <w:tab w:val="clear" w:pos="454"/>
        </w:tabs>
        <w:autoSpaceDE/>
        <w:autoSpaceDN/>
        <w:adjustRightInd/>
        <w:spacing w:after="200" w:line="276" w:lineRule="auto"/>
        <w:ind w:firstLine="0"/>
        <w:jc w:val="left"/>
      </w:pPr>
      <w:r>
        <w:fldChar w:fldCharType="begin" w:fldLock="1"/>
      </w:r>
      <w:r w:rsidR="005F7577">
        <w:instrText>ADDIN CSL_CITATION {"citationItems":[{"id":"ITEM-1","itemData":{"author":[{"dropping-particle":"","family":"Cruz Zamudio","given":"Andrés","non-dropping-particle":"","parse-names":false,"suffix":""}],"id":"ITEM-1","issued":{"date-parts":[["2017"]]},"publisher":"El Colegio de la Frontera Sur y Université de Sherbrooke","title":"Producción  de  miel  convencional  y  orgánica  en  la  Península  de  Yucatán","type":"thesis"},"uris":["http://www.mendeley.com/documents/?uuid=1663fc0b-ecff-3b20-b76e-1ff55e33d157"]}],"mendeley":{"formattedCitation":"(Cruz Zamudio, 2017)","plainTextFormattedCitation":"(Cruz Zamudio, 2017)","previouslyFormattedCitation":"(Cruz Zamudio, 2017)"},"properties":{"noteIndex":0},"schema":"https://github.com/citation-style-language/schema/raw/master/csl-citation.json"}</w:instrText>
      </w:r>
      <w:r>
        <w:fldChar w:fldCharType="separate"/>
      </w:r>
      <w:r w:rsidR="005F7577" w:rsidRPr="005F7577">
        <w:rPr>
          <w:noProof/>
        </w:rPr>
        <w:t>(</w:t>
      </w:r>
      <w:r w:rsidR="005F7577" w:rsidRPr="002F2C00">
        <w:rPr>
          <w:noProof/>
          <w:highlight w:val="cyan"/>
        </w:rPr>
        <w:t>Cruz Zamudio, 2017)</w:t>
      </w:r>
      <w:r>
        <w:fldChar w:fldCharType="end"/>
      </w:r>
    </w:p>
    <w:p w14:paraId="3828D84C" w14:textId="58E12D2C" w:rsidR="00750F91" w:rsidRDefault="00750F91">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{"citationItems":[{"id":"ITEM-1","itemData":{"DOI":"10.1080/08920753.2016.1155038","ISSN":"15210421","abstract":"© 2016 Taylor &amp; Francis.Beach erosion can have important socioeconomic and environmental consequences, particularly in tropical regions where tourism is a significant source of income. Although caused by natural processes, erosion is often aggravated by disorderly anthropogenic modification of the coast and extreme events. In Yucatan, Mexico, increasing urban development and deficient coastal management strategies as well as hurricanes have affected beach stability. This has highlighted the need for adequate coastal planning and policies that ensure the protection of key coastal ecosystems, such as beaches and sand dunes. To address this, a methodology to classify the coast according to its vulnerability is presented in this work. This methodology assumes that morphological features are indicators of beach evolution and the processes driving it and that these can be associated with different levels of vulnerability. The features considered are beach width, dune vegetation, anthropogenic pressure, and shoreline orientation, which were analyzed through aerial images and a multicriteria evaluation. It was observed that the most vulnerable areas are found near the most developed parts of the coast, where narrow beaches with little dune vegetation dominate. It is expected that this index will be of use to coastal planners and decision makers, particularly in the identification of critical zones.","author":[{"dropping-particle":"","family":"Cuevas Jiménez","given":"Alfonso","non-dropping-particle":"","parse-names":false,"suffix":""},{"dropping-particle":"","family":"Euán Ávila","given":"Jorge I.","non-dropping-particle":"","parse-names":false,"suffix":""},{"dropping-particle":"","family":"Villatoro Lacouture","given":"Monique Marie","non-dropping-particle":"","parse-names":false,"suffix":""},{"dropping-particle":"","family":"Silva Casarín","given":"Rodolfo","non-dropping-particle":"","parse-names":false,"suffix":""}],"container-title":"Coastal Management","id":"ITEM-1","issue":"4","issued":{"date-parts":[["2016"]]},"page":"333-349","publisher":"Taylor &amp; Francis","title":"Classification of Beach Erosion Vulnerability on the Yucatan Coast","type":"article-journal","volume":"44"},"uris":["http://www.mendeley.com/documents/?uuid=6cf3c2f7-97d4-4306-b9c7-9ddc129418e6"]}],"mendeley":{"formattedCitation":"(Cuevas Jiménez et al., 2016)","plainTextFormattedCitation":"(Cuevas Jiménez et al., 2016)","previouslyFormattedCitation":"(Cuevas Jiménez et al., 2016)"},"properties":{"noteIndex":0},"schema":"https://github.com/citation-style-language/schema/raw/master/csl-citation.json"}</w:instrText>
      </w:r>
      <w:r>
        <w:fldChar w:fldCharType="separate"/>
      </w:r>
      <w:r w:rsidR="005F7577" w:rsidRPr="00B945C0">
        <w:rPr>
          <w:noProof/>
        </w:rPr>
        <w:t>(</w:t>
      </w:r>
      <w:r w:rsidR="005F7577" w:rsidRPr="00385C73">
        <w:rPr>
          <w:noProof/>
          <w:highlight w:val="cyan"/>
        </w:rPr>
        <w:t>Cuevas Jiménez et</w:t>
      </w:r>
      <w:r w:rsidR="005F7577" w:rsidRPr="00B945C0">
        <w:rPr>
          <w:noProof/>
        </w:rPr>
        <w:t xml:space="preserve"> al., 2016)</w:t>
      </w:r>
      <w:r>
        <w:fldChar w:fldCharType="end"/>
      </w:r>
    </w:p>
    <w:p w14:paraId="2F0BC67C" w14:textId="5C4D42CC" w:rsidR="00750F91" w:rsidRDefault="00750F91">
      <w:pPr>
        <w:tabs>
          <w:tab w:val="clear" w:pos="454"/>
        </w:tabs>
        <w:autoSpaceDE/>
        <w:autoSpaceDN/>
        <w:adjustRightInd/>
        <w:spacing w:after="200" w:line="276" w:lineRule="auto"/>
        <w:ind w:firstLine="0"/>
        <w:jc w:val="left"/>
      </w:pPr>
      <w:r w:rsidRPr="00500273">
        <w:rPr>
          <w:highlight w:val="cyan"/>
        </w:rPr>
        <w:fldChar w:fldCharType="begin" w:fldLock="1"/>
      </w:r>
      <w:r w:rsidR="005F7577" w:rsidRPr="00500273">
        <w:rPr>
          <w:highlight w:val="cyan"/>
        </w:rPr>
        <w:instrText>ADDIN CSL_CITATION {"citationItems":[{"id":"ITEM-1","itemData":{"author":[{"dropping-particle":"","family":"Diario de Yucatán","given":"","non-dropping-particle":"","parse-names":false,"suffix":""}],"container-title":"Diario de Yucatán","id":"ITEM-1","issued":{"date-parts":[["2019","9","17"]]},"publisher-place":"Mérda, Yucatán","title":"Canteras sin control","type":"article-newspaper"},"uris":["http://www.mendeley.com/documents/?uuid=7c71bf27-c2db-4cad-a196-b19f4a840c98"]}],"mendeley":{"formattedCitation":"(Diario de Yucatán, 2019)","plainTextFormattedCitation":"(Diario de Yucatán, 2019)","previouslyFormattedCitation":"(Diario de Yucatán, 2019)"},"properties":{"noteIndex":0},"schema":"https://github.com/citation-style-language/schema/raw/master/csl-citation.json"}</w:instrText>
      </w:r>
      <w:r w:rsidRPr="00500273">
        <w:rPr>
          <w:highlight w:val="cyan"/>
        </w:rPr>
        <w:fldChar w:fldCharType="separate"/>
      </w:r>
      <w:r w:rsidR="005F7577" w:rsidRPr="00500273">
        <w:rPr>
          <w:noProof/>
          <w:highlight w:val="cyan"/>
        </w:rPr>
        <w:t>(Diario de Yucatán, 2019)</w:t>
      </w:r>
      <w:r w:rsidRPr="00500273">
        <w:rPr>
          <w:highlight w:val="cyan"/>
        </w:rPr>
        <w:fldChar w:fldCharType="end"/>
      </w:r>
    </w:p>
    <w:p w14:paraId="55418CE4" w14:textId="765E176D" w:rsidR="00750F91" w:rsidRDefault="00750F91">
      <w:pPr>
        <w:tabs>
          <w:tab w:val="clear" w:pos="454"/>
        </w:tabs>
        <w:autoSpaceDE/>
        <w:autoSpaceDN/>
        <w:adjustRightInd/>
        <w:spacing w:after="200" w:line="276" w:lineRule="auto"/>
        <w:ind w:firstLine="0"/>
        <w:jc w:val="left"/>
      </w:pPr>
      <w:r>
        <w:fldChar w:fldCharType="begin" w:fldLock="1"/>
      </w:r>
      <w:r w:rsidR="00194FB8">
        <w:instrText>ADDIN CSL_CITATION {"citationItems":[{"id":"ITEM-1","itemData":{"abstract":"Resumen La actividad porcícola se ha convertido en una de las más importantes en el Estado de Yucatán, lo cual ha provocado un crecimiento acelerado en la población de cerdos. Las características naturales de la región la hacen muy vulnerable a la descarga de aguas residuales; lo anterior se aúna al aumento del número de animales en el estado y agrava los problemas por contamina-ción, especialmente del agua del manto freático. En este artículo se estudian la estructura del sector porcícola con relación a la generación de aguas residuales, la importancia de un manejo adecuado en el uso del agua en las granjas porcícolas y los factores que influyen en la cantidad del agua residual generada. Palabras clave: producción porcícola, abono, mezcla, contaminación, tratamiento de aguas, legislación ambiental.","author":[{"dropping-particle":"","family":"Drucker","given":"Adam","non-dropping-particle":"","parse-names":false,"suffix":""},{"dropping-particle":"","family":"Escalante","given":"Roberto","non-dropping-particle":"","parse-names":false,"suffix":""},{"dropping-particle":"","family":"Gómez","given":"Verónica","non-dropping-particle":"","parse-names":false,"suffix":""},{"dropping-particle":"","family":"Magaña","given":"Sergio","non-dropping-particle":"","parse-names":false,"suffix":""}],"container-title":"Problemas del Desarrollo. Revista Latinoamericana de Economía, UNAM","id":"ITEM-1","issue":"135","issued":{"date-parts":[["2003"]]},"title":"La industria porcina en Yucatán: un análisis de la generación de aguas residuales","type":"article-journal","volume":"34"},"uris":["http://www.mendeley.com/documents/?uuid=fd271916-4114-3cc1-9dd1-4d17253a57af"]}],"mendeley":{"formattedCitation":"(Drucker et al., 2003)","plainTextFormattedCitation":"(Drucker et al., 2003)","previouslyFormattedCitation":"(Drucker et al., 2003)"},"properties":{"noteIndex":0},"schema":"https://github.com/citation-style-language/schema/raw/master/csl-citation.json"}</w:instrText>
      </w:r>
      <w:r>
        <w:fldChar w:fldCharType="separate"/>
      </w:r>
      <w:r w:rsidR="005F7577" w:rsidRPr="00B945C0">
        <w:rPr>
          <w:noProof/>
        </w:rPr>
        <w:t>(</w:t>
      </w:r>
      <w:r w:rsidR="005F7577" w:rsidRPr="00385C73">
        <w:rPr>
          <w:noProof/>
          <w:highlight w:val="cyan"/>
        </w:rPr>
        <w:t>Drucker et al., 2003)</w:t>
      </w:r>
      <w:r>
        <w:fldChar w:fldCharType="end"/>
      </w:r>
    </w:p>
    <w:p w14:paraId="264F3B85" w14:textId="49CDBF82" w:rsidR="004323E8" w:rsidRDefault="004323E8">
      <w:pPr>
        <w:tabs>
          <w:tab w:val="clear" w:pos="454"/>
        </w:tabs>
        <w:autoSpaceDE/>
        <w:autoSpaceDN/>
        <w:adjustRightInd/>
        <w:spacing w:after="200" w:line="276" w:lineRule="auto"/>
        <w:ind w:firstLine="0"/>
        <w:jc w:val="left"/>
      </w:pPr>
      <w:r>
        <w:fldChar w:fldCharType="begin" w:fldLock="1"/>
      </w:r>
      <w:r w:rsidR="005F7577">
        <w:instrText>ADDIN CSL_CITATION {"citationItems":[{"id":"ITEM-1","itemData":{"DOI":"10.6018/geografia/2018/340111","ISSN":"1989-4627","abstract":"La soja en el estado de Yucatán, México, es un cultivo relativamente nuevo (a partir de 2009) que, sin embargo, se ha expandido aceleradamente en tierras anteriormente sembradas con maíz y pastizales para ganadería, en el marco de un proceso de reconversión productiva. El presente artículo tiene como objetivo el estudio de las causas o factores que han motivado dicha expansión, así como sus efectos en la estructura agraria y productiva de Yucatán, todo lo cual implica el análisis de las políticas agrícolas y los incentivos de mercado a diferentes escalas (local–global). Uno de los hallazgos de la investigación reveló la existencia de importantes diferencias entre las dos regiones productoras de dicho grano, el Oriente y el Sur, entre las cuales figura la tipología de sus productores. Así, mientras en la primera región el cultivo de la soja es empresarial, en la segunda prevalecen grandes productores (ejidatarios), que rentan las tierras de los ejidos sureños, pasando los arrendadores a una situación de “exclusión productiva”. Sin ser el objetivo central, también se señalan los efectos negativos que el cultivo de la soja ha tenido en diversos ámbitos (medio ambiente, biodiversidad, deforestación, salud humana y animal), así como en la economía de los apicultores yucatecos.\r Palabras clave: soja; política agrícola; renta de tierras; Yucatán; México.Soybeans in the state of Yucatan, Mexico, is a relatively new crop (as of 2009) that, however, has expanded rapidly on previously cultivated areas with corn and pastures for livestock. The objective of this article is to study the causes or factors that have motivated this expansion, as well as its effects on the agrarian and productive structure of Yucatan, all of which implies the analysis of agricultural policies and market incentives at different scales (local-global). One of the findings of the investigation revealed the existence of important differences between the two producing regions of this grain, the East and he South, among which is the typology of its producers, since while in the first the cultivation of soy is entreprenurial, the second prevails large producers (ejidatarios), who lease the lands of the southern ejidos, entering the landlords to a process of \"productive exclusion\". Without being the central objective, the negative effects that the cultivation of soybean has had in different areas (environment, biodiversity, deforestation, human and animal health), as well as the impact on Yucatan…","author":[{"dropping-particle":"","family":"Echánove Huacuja","given":"Flavia","non-dropping-particle":"","parse-names":false,"suffix":""}],"container-title":"Papeles de Geografía","id":"ITEM-1","issue":"64","issued":{"date-parts":[["2019","1","21"]]},"page":"181-197","publisher":"Servicio de Publicaciones de la Universidad de Murcia","title":"Productive reconversion in Yucatan, Mexico: from maize and pastures to soybeans","type":"article-journal"},"uris":["http://www.mendeley.com/documents/?uuid=354738d5-8eb0-3610-aa89-62978dc55c7d"]}],"mendeley":{"formattedCitation":"(Echánove Huacuja, 2019)","plainTextFormattedCitation":"(Echánove Huacuja, 2019)","previouslyFormattedCitation":"(Echánove Huacuja, 2019)"},"properties":{"noteIndex":0},"schema":"https://github.com/citation-style-language/schema/raw/master/csl-citation.json"}</w:instrText>
      </w:r>
      <w:r>
        <w:fldChar w:fldCharType="separate"/>
      </w:r>
      <w:r w:rsidR="005F7577" w:rsidRPr="005F7577">
        <w:rPr>
          <w:noProof/>
        </w:rPr>
        <w:t>(</w:t>
      </w:r>
      <w:r w:rsidR="005F7577" w:rsidRPr="002F2C00">
        <w:rPr>
          <w:noProof/>
          <w:highlight w:val="cyan"/>
        </w:rPr>
        <w:t>Echánove Huacuja, 2019</w:t>
      </w:r>
      <w:r w:rsidR="005F7577" w:rsidRPr="005F7577">
        <w:rPr>
          <w:noProof/>
        </w:rPr>
        <w:t>)</w:t>
      </w:r>
      <w:r>
        <w:fldChar w:fldCharType="end"/>
      </w:r>
    </w:p>
    <w:p w14:paraId="6F0BF88F" w14:textId="66505DE4" w:rsidR="004323E8" w:rsidRDefault="004323E8">
      <w:pPr>
        <w:tabs>
          <w:tab w:val="clear" w:pos="454"/>
        </w:tabs>
        <w:autoSpaceDE/>
        <w:autoSpaceDN/>
        <w:adjustRightInd/>
        <w:spacing w:after="200" w:line="276" w:lineRule="auto"/>
        <w:ind w:firstLine="0"/>
        <w:jc w:val="left"/>
      </w:pPr>
      <w:r>
        <w:fldChar w:fldCharType="begin" w:fldLock="1"/>
      </w:r>
      <w:r w:rsidR="005F7577">
        <w:instrText>ADDIN CSL_CITATION {"citationItems":[{"id":"ITEM-1","itemData":{"ISSN":"2448-8364","abstract":"A partir de la promulgación de la reforma energética en año 2013, México ha comenzado a percibir una notable transformación en el sector energético que posibilita hoy en día la inversión privada en materia de energía en el país. Yucatán resulta uno de los estados de mayor interés para el desarrollo de megaproyectos energéticos basados en fuentes renovables debido a su amplio potencial eólico y solar. Sin embargo, debido a sus condiciones geo-sociales resulta indispensable incorporar análisis sociológicos y antropológicos de los efectos que estos proyectos pueden ocasionar en la población y comunidades locales. Esto con el fin de mitigar los posibles efectos negativos y garantizar el crecimiento sustentable de la población a la par del desarrollo económico de la región. El objetivo de este trabajo es presentar una visión introductiva de los actuales proyectos en la región de la península yucateca así como los posibles desafíos sociales que pueden llegar a afrontar durante su implementación. Palabras clave: Energías renovables, estudios de impacto, acompañamiento social, reforma energética en Yucatán. ABSTRACT Since promulgation of the energy reform in 2013, Mexico has begun to perceive a remarkable transformation in their energy sector, enabling private investment in the country. Yucatan is one of the states of greatest interest for the development of energy megaprojects based on renewable sources due to its large wind and solar potential. However, due to its geo-social conditions, it is essential to incorporate sociological and anthropological analyzes of the effects that these projects can have on the population and local communities. This in order to mitigate the possible negative effects and ensure the sustainable 1Facultad de Letras y Ciencias Humanas, Universidad Mohamed V, Rabat, Marruecos. 2Profesor invitado,","author":[{"dropping-particle":"","family":"Mekaoui","given":"Amina","non-dropping-particle":"El","parse-names":false,"suffix":""}],"container-title":"Ingeniería","id":"ITEM-1","issue":"1","issued":{"date-parts":[["2018"]]},"page":"64-75","title":"El sector energético retos y problemas sociales: caso de los megaproyectos en las comunidades del Estado de Yucatán, México","type":"article-journal","volume":"22"},"uris":["http://www.mendeley.com/documents/?uuid=cba71e4d-ebbf-303b-a1f9-50438f9f61ba"]}],"mendeley":{"formattedCitation":"(El Mekaoui, 2018)","plainTextFormattedCitation":"(El Mekaoui, 2018)","previouslyFormattedCitation":"(El Mekaoui, 2018)"},"properties":{"noteIndex":0},"schema":"https://github.com/citation-style-language/schema/raw/master/csl-citation.json"}</w:instrText>
      </w:r>
      <w:r>
        <w:fldChar w:fldCharType="separate"/>
      </w:r>
      <w:r w:rsidR="005F7577" w:rsidRPr="0074700B">
        <w:rPr>
          <w:noProof/>
          <w:highlight w:val="cyan"/>
        </w:rPr>
        <w:t>(El Mekaoui, 2018</w:t>
      </w:r>
      <w:r w:rsidR="005F7577" w:rsidRPr="005F7577">
        <w:rPr>
          <w:noProof/>
        </w:rPr>
        <w:t>)</w:t>
      </w:r>
      <w:r>
        <w:fldChar w:fldCharType="end"/>
      </w:r>
    </w:p>
    <w:p w14:paraId="342EED96" w14:textId="5FC53775" w:rsidR="00C432F0" w:rsidRDefault="00C432F0">
      <w:pPr>
        <w:tabs>
          <w:tab w:val="clear" w:pos="454"/>
        </w:tabs>
        <w:autoSpaceDE/>
        <w:autoSpaceDN/>
        <w:adjustRightInd/>
        <w:spacing w:after="200" w:line="276" w:lineRule="auto"/>
        <w:ind w:firstLine="0"/>
        <w:jc w:val="left"/>
      </w:pPr>
      <w:r>
        <w:fldChar w:fldCharType="begin" w:fldLock="1"/>
      </w:r>
      <w:r>
        <w:instrText>ADDIN CSL_CITATION {"citationItems":[{"id":"ITEM-1","itemData":{"DOI":"10.7818/ECOS.2017.26-1.16","ISSN":"16972473","abstract":"Deforestation in Mexico has persisted in the last decades, particularly in the Yucatán Peninsula (YP) in the southeastern region. The YP region is of great importance at national and international levels since it contains the Selva Maya, the second largest contiguous mass of forest in the Americas. Currently, the REDD+ initiative in collaboration with the Mexican government is developing strategies to combat deforestation, evaluating and monitoring these processes in the territory. Based on a search, revision and analysis of information and data reported in the available literature, this work evaluates the processes of land use/land cover change in the three states of the YP (Campeche, Quintana Roo and Yucatan) in the last 50 years and identifies de direct causes and underlying factors related with forest cover change. The publications evaluated reveal regional differences in forest cover and land use change within the three states, indicating regions where deforestation processes have occurred as well as where the conservation or recuperation of forest cover is occurring. The immediate causes of deforestation are associated mainly with the expansion of cattle ranching, followed by agriculture and mostly within the states of Campeche and Yucatán. The Underlying factors of deforestation in the YP are mostly associated with government colonization and agricultural development programs, population growth and markets. Moreover, in Quintana Roo, the tourism development and fires were associated with changes in forest cover, while slash and burn shifting agriculture and forest management were not associated with deforestation processes.","author":[{"dropping-particle":"","family":"Ellis","given":"E. A.","non-dropping-particle":"","parse-names":false,"suffix":""},{"dropping-particle":"","family":"Hernández-Gómez","given":"I. U.","non-dropping-particle":"","parse-names":false,"suffix":""},{"dropping-particle":"","family":"Romero-Montero","given":"J. A.","non-dropping-particle":"","parse-names":false,"suffix":""}],"container-title":"Ecosistemas","id":"ITEM-1","issue":"1","issued":{"date-parts":[["2017","1","1"]]},"page":"101-111","publisher":"Asociacion Espanola de Ecologia Terrestre","title":"Los procesos y causas del cambio en la cobertura forestal de la Península Yucatán, México","type":"article-journal","volume":"26"},"uris":["http://www.mendeley.com/documents/?uuid=9c2570cd-e0d8-4c4d-b5ae-120820351529"]}],"mendeley":{"formattedCitation":"(E. A. Ellis et al., 2017)","plainTextFormattedCitation":"(E. A. Ellis et al., 2017)","previouslyFormattedCitation":"(E. A. Ellis et al., 2017)"},"properties":{"noteIndex":0},"schema":"https://github.com/citation-style-language/schema/raw/master/csl-citation.json"}</w:instrText>
      </w:r>
      <w:r>
        <w:fldChar w:fldCharType="separate"/>
      </w:r>
      <w:r w:rsidRPr="00C432F0">
        <w:rPr>
          <w:noProof/>
        </w:rPr>
        <w:t>(</w:t>
      </w:r>
      <w:r w:rsidRPr="002F2C00">
        <w:rPr>
          <w:noProof/>
          <w:highlight w:val="yellow"/>
        </w:rPr>
        <w:t>E. A.</w:t>
      </w:r>
      <w:r w:rsidRPr="002F2C00">
        <w:rPr>
          <w:noProof/>
          <w:highlight w:val="magenta"/>
        </w:rPr>
        <w:t xml:space="preserve"> Ellis et al.</w:t>
      </w:r>
      <w:r w:rsidRPr="00C432F0">
        <w:rPr>
          <w:noProof/>
        </w:rPr>
        <w:t>, 2017)</w:t>
      </w:r>
      <w:r>
        <w:fldChar w:fldCharType="end"/>
      </w:r>
    </w:p>
    <w:p w14:paraId="0B90A9EF" w14:textId="0E522742" w:rsidR="00750F91" w:rsidRDefault="004323E8">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{"citationItems":[{"id":"ITEM-1","itemData":{"DOI":"10.7818/ECOS.2017.26-1.16","ISSN":"16972473","abstract":"Deforestation in Mexico has persisted in the last decades, particularly in the Yucatán Peninsula (YP) in the southeastern region. The YP region is of great importance at national and international levels since it contains the Selva Maya, the second largest contiguous mass of forest in the Americas. Currently, the REDD+ initiative in collaboration with the Mexican government is developing strategies to combat deforestation, evaluating and monitoring these processes in the territory. Based on a search, revision and analysis of information and data reported in the available literature, this work evaluates the processes of land use/land cover change in the three states of the YP (Campeche, Quintana Roo and Yucatan) in the last 50 years and identifies de direct causes and underlying factors related with forest cover change. The publications evaluated reveal regional differences in forest cover and land use change within the three states, indicating regions where deforestation processes have occurred as well as where the conservation or recuperation of forest cover is occurring. The immediate causes of deforestation are associated mainly with the expansion of cattle ranching, followed by agriculture and mostly within the states of Campeche and Yucatán. The Underlying factors of deforestation in the YP are mostly associated with government colonization and agricultural development programs, population growth and markets. Moreover, in Quintana Roo, the tourism development and fires were associated with changes in forest cover, while slash and burn shifting agriculture and forest management were not associated with deforestation processes.","author":[{"dropping-particle":"","family":"Ellis","given":"E. A.","non-dropping-particle":"","parse-names":false,"suffix":""},{"dropping-particle":"","family":"Hernández-Gómez","given":"I. U.","non-dropping-particle":"","parse-names":false,"suffix":""},{"dropping-particle":"","family":"Romero-Montero","given":"J. A.","non-dropping-particle":"","parse-names":false,"suffix":""}],"container-title":"Ecosistemas","id":"ITEM-1","issue":"1","issued":{"date-parts":[["2017","1","1"]]},"page":"101-111","publisher":"Asociacion Espanola de Ecologia Terrestre","title":"Los procesos y causas del cambio en la cobertura forestal de la Península Yucatán, México","type":"article-journal","volume":"26"},"uris":["http://www.mendeley.com/documents/?uuid=9c2570cd-e0d8-4c4d-b5ae-120820351529"]}],"mendeley":{"formattedCitation":"(E. A. Ellis et al., 2017)","plainTextFormattedCitation":"(E. A. Ellis et al., 2017)","previouslyFormattedCitation":"(E. A. Ellis et al., 2017)"},"properties":{"noteIndex":0},"schema":"https://github.com/citation-style-language/schema/raw/master/csl-citation.json"}</w:instrText>
      </w:r>
      <w:r>
        <w:fldChar w:fldCharType="separate"/>
      </w:r>
      <w:r w:rsidR="00B945C0" w:rsidRPr="00B945C0">
        <w:rPr>
          <w:noProof/>
        </w:rPr>
        <w:t>(</w:t>
      </w:r>
      <w:r w:rsidR="00B945C0" w:rsidRPr="00C432F0">
        <w:rPr>
          <w:noProof/>
          <w:highlight w:val="yellow"/>
        </w:rPr>
        <w:t>E. A.</w:t>
      </w:r>
      <w:r w:rsidR="00B945C0" w:rsidRPr="00B945C0">
        <w:rPr>
          <w:noProof/>
        </w:rPr>
        <w:t xml:space="preserve"> E</w:t>
      </w:r>
      <w:r w:rsidR="00B945C0" w:rsidRPr="002F2C00">
        <w:rPr>
          <w:noProof/>
          <w:highlight w:val="cyan"/>
        </w:rPr>
        <w:t>llis et al., 2017)</w:t>
      </w:r>
      <w:r>
        <w:fldChar w:fldCharType="end"/>
      </w:r>
    </w:p>
    <w:p w14:paraId="2AF32271" w14:textId="733AC428" w:rsidR="004323E8" w:rsidRPr="00385C73" w:rsidRDefault="004323E8">
      <w:pPr>
        <w:tabs>
          <w:tab w:val="clear" w:pos="454"/>
        </w:tabs>
        <w:autoSpaceDE/>
        <w:autoSpaceDN/>
        <w:adjustRightInd/>
        <w:spacing w:after="200" w:line="276" w:lineRule="auto"/>
        <w:ind w:firstLine="0"/>
        <w:jc w:val="left"/>
        <w:rPr>
          <w:highlight w:val="magenta"/>
        </w:rPr>
      </w:pPr>
      <w:r w:rsidRPr="00385C73">
        <w:rPr>
          <w:highlight w:val="magenta"/>
        </w:rPr>
        <w:fldChar w:fldCharType="begin" w:fldLock="1"/>
      </w:r>
      <w:r w:rsidR="00500273">
        <w:rPr>
          <w:highlight w:val="magenta"/>
        </w:rPr>
        <w:instrText>ADDIN CSL_CITATION {"citationItems":[{"id":"ITEM-1","itemData":{"abstract":"Este estudio evalúa los procesos y dinámicas de la deforestación en la Península Yucatán (PY) y determina los factores próximos y subyacentes que inciden en la remoción de la cobertura forestal.","author":[{"dropping-particle":"","family":"Ellis","given":"E. A.","non-dropping-particle":"","parse-names":false,"suffix":""},{"dropping-particle":"","family":"Romero Montero","given":"José Arturo","non-dropping-particle":"","parse-names":false,"suffix":""},{"dropping-particle":"","family":"Hernández Gómez","given":"Irving Uriel","non-dropping-particle":"","parse-names":false,"suffix":""}],"id":"ITEM-1","issued":{"date-parts":[["2015"]]},"publisher-place":"México","title":"Evaluación y mapeo de los determinantes de la deforestación en la Península Yucatán Monitoreo Reporte y Verificación","type":"report"},"uris":["http://www.mendeley.com/documents/?uuid=3a8597ba-56ca-3fbd-bb40-ab35bc2a420f"]}],"mendeley":{"formattedCitation":"(E. A. Ellis et al., 2015)","plainTextFormattedCitation":"(E. A. Ellis et al., 2015)","previouslyFormattedCitation":"(E. A. Ellis et al., 2015)"},"properties":{"noteIndex":0},"schema":"https://github.com/citation-style-language/schema/raw/master/csl-citation.json"}</w:instrText>
      </w:r>
      <w:r w:rsidRPr="00385C73">
        <w:rPr>
          <w:highlight w:val="magenta"/>
        </w:rPr>
        <w:fldChar w:fldCharType="separate"/>
      </w:r>
      <w:r w:rsidR="00C432F0" w:rsidRPr="00385C73">
        <w:rPr>
          <w:noProof/>
          <w:highlight w:val="magenta"/>
        </w:rPr>
        <w:t>(E. A. Ellis et al., 2</w:t>
      </w:r>
      <w:r w:rsidR="00C432F0" w:rsidRPr="00385C73">
        <w:rPr>
          <w:noProof/>
          <w:highlight w:val="cyan"/>
        </w:rPr>
        <w:t>015</w:t>
      </w:r>
      <w:r w:rsidR="00C432F0" w:rsidRPr="00385C73">
        <w:rPr>
          <w:noProof/>
          <w:highlight w:val="magenta"/>
        </w:rPr>
        <w:t>)</w:t>
      </w:r>
      <w:r w:rsidRPr="00385C73">
        <w:rPr>
          <w:highlight w:val="magenta"/>
        </w:rPr>
        <w:fldChar w:fldCharType="end"/>
      </w:r>
      <w:r w:rsidRPr="00385C73">
        <w:rPr>
          <w:highlight w:val="magenta"/>
        </w:rPr>
        <w:t xml:space="preserve"> </w:t>
      </w:r>
    </w:p>
    <w:p w14:paraId="658F5670" w14:textId="37598C76" w:rsidR="004323E8" w:rsidRDefault="004323E8">
      <w:pPr>
        <w:tabs>
          <w:tab w:val="clear" w:pos="454"/>
        </w:tabs>
        <w:autoSpaceDE/>
        <w:autoSpaceDN/>
        <w:adjustRightInd/>
        <w:spacing w:after="200" w:line="276" w:lineRule="auto"/>
        <w:ind w:firstLine="0"/>
        <w:jc w:val="left"/>
      </w:pPr>
      <w:r>
        <w:lastRenderedPageBreak/>
        <w:fldChar w:fldCharType="begin" w:fldLock="1"/>
      </w:r>
      <w:r w:rsidR="005F7577">
        <w:instrText>ADDIN CSL_CITATION {"citationItems":[{"id":"ITEM-1","itemData":{"DOI":"10.1192/bjp.112.483.211-a","author":[{"dropping-particle":"","family":"FAO-SEDER-Gobierno de Yucatán","given":"","non-dropping-particle":"","parse-names":false,"suffix":""}],"id":"ITEM-1","issued":{"date-parts":[["2016"]]},"page":"1-138","title":"Diagnóstico de los Sectores de la Pesca y la Acuacultura en el Estado de Yucatán","type":"article"},"uris":["http://www.mendeley.com/documents/?uuid=92a91dc5-1162-47ea-ad3a-3cef1e346426"]}],"mendeley":{"formattedCitation":"(FAO-SEDER-Gobierno de Yucatán, 2016)","plainTextFormattedCitation":"(FAO-SEDER-Gobierno de Yucatán, 2016)","previouslyFormattedCitation":"(FAO-SEDER-Gobierno de Yucatán, 2016)"},"properties":{"noteIndex":0},"schema":"https://github.com/citation-style-language/schema/raw/master/csl-citation.json"}</w:instrText>
      </w:r>
      <w:r>
        <w:fldChar w:fldCharType="separate"/>
      </w:r>
      <w:r w:rsidR="005F7577" w:rsidRPr="005F7577">
        <w:rPr>
          <w:noProof/>
        </w:rPr>
        <w:t>(FAO-SEDER-Gobierno de Yucatán, 2016)</w:t>
      </w:r>
      <w:r>
        <w:fldChar w:fldCharType="end"/>
      </w:r>
    </w:p>
    <w:p w14:paraId="18D4A8DF" w14:textId="55A8914D" w:rsidR="00B945C0" w:rsidRDefault="00B945C0" w:rsidP="00BF2A2D">
      <w:pPr>
        <w:tabs>
          <w:tab w:val="clear" w:pos="454"/>
        </w:tabs>
        <w:autoSpaceDE/>
        <w:autoSpaceDN/>
        <w:adjustRightInd/>
        <w:spacing w:after="200" w:line="276" w:lineRule="auto"/>
        <w:ind w:firstLine="0"/>
        <w:jc w:val="left"/>
      </w:pPr>
      <w:r w:rsidRPr="00385C73">
        <w:rPr>
          <w:highlight w:val="cyan"/>
        </w:rPr>
        <w:fldChar w:fldCharType="begin" w:fldLock="1"/>
      </w:r>
      <w:r w:rsidR="00B3292E" w:rsidRPr="00385C73">
        <w:rPr>
          <w:highlight w:val="cyan"/>
        </w:rPr>
        <w:instrText>ADDIN CSL_CITATION {"citationItems":[{"id":"ITEM-1","itemData":{"ISBN":"9786077607441","abstract":"El turismo de la costa del estado de Yucatán ha evolucionado en tres vertientes: a) el desarrollo de casas de segunda residencia de familias que se trasladan durante los periodos vacacionales a las playas, con antecedentes en el siglo pasado, b) el desarrollo de una incipiente industria hotelera en los años 70 y c) la modalidad de turismo de bajo impacto ambiental, que inicia a partir del año 2004. El turismo costero de segunda residencia, precursor de la actividad recreativa en la zona y cuyo desarrollo permaneció durante muchos años sin la aplicación de criterios regulatorios, es el que mayores impactos ha causado al ambiente costero. A partir de la descripción de las características de cada una de las modalidades en que se realiza la actividad turística en la costa del estado, el grupo de autores analiza sus posibilidades de desarrollo y sugiere algunos criterios para efectos de manejo y monitoreo. La investigación hace especial énfasis en los avances y problemas vincu-lados con el desarrollo del turismo de bajo impacto ambiental, mo-dalidad que ha ido cobrando impulso en la región. Conocimientos, Acciones y Diálogos son los cuadernos en los que el Corredor Biológico Mesoamericano México va dejando constancia del trabajo realizado en favor de la conectividad entre áreas de gran riqueza biológica en nuestro territorio. Son referentes, huellas de uti-lidad para orientar los empeños de la gran diversidad de actores que trabajan en torno al uso o manejo sustentable de nuestros recursos y la conservación de la biodiversidad. La serie Conocimientos contiene algunos de los diagnósticos e inves-tigaciones que van teniendo lugar. Acciones, reúne experiencias que van cristalizando alrededor del uso sustentable y la conservación, y Diálogos alimenta el intercambio de saberes, son guías, inventarios y manuales de utilidad para los actores involucrados.","author":[{"dropping-particle":"","family":"García de Fuentes","given":"Ana","non-dropping-particle":"","parse-names":false,"suffix":""},{"dropping-particle":"","family":"Xool","given":"Koh Manuell","non-dropping-particle":"","parse-names":false,"suffix":""},{"dropping-particle":"","family":"Euán","given":"Ávila Jorge I.","non-dropping-particle":"","parse-names":false,"suffix":""},{"dropping-particle":"","family":"Munguía","given":"Gil Alfonso","non-dropping-particle":"","parse-names":false,"suffix":""},{"dropping-particle":"","family":"Cervera","given":"Montejano María Dolores","non-dropping-particle":"","parse-names":false,"suffix":""}],"container-title":"PASOS, Revista de Turismo y Patrimonio Cultural","edition":"9","editor":[{"dropping-particle":"la","family":"Biodiversidad","given":"Comisión Nacional para el Conocimiento y Uso de","non-dropping-particle":"","parse-names":false,"suffix":""}],"id":"ITEM-1","issued":{"date-parts":[["2011"]]},"number-of-pages":"82","publisher":"CONABIO","publisher-place":"Ciudad de México","title":"La costa de Yucatán en la perspectiva del desarrollo turístico","type":"book"},"uris":["http://www.mendeley.com/documents/?uuid=a715dc27-ff19-4ae5-8fa2-11025db5a86f"]}],"mendeley":{"formattedCitation":"(García de Fuentes et al., 2011)","plainTextFormattedCitation":"(García de Fuentes et al., 2011)","previouslyFormattedCitation":"(García de Fuentes et al., 2011)"},"properties":{"noteIndex":0},"schema":"https://github.com/citation-style-language/schema/raw/master/csl-citation.json"}</w:instrText>
      </w:r>
      <w:r w:rsidRPr="00385C73">
        <w:rPr>
          <w:highlight w:val="cyan"/>
        </w:rPr>
        <w:fldChar w:fldCharType="separate"/>
      </w:r>
      <w:r w:rsidRPr="00385C73">
        <w:rPr>
          <w:noProof/>
          <w:highlight w:val="cyan"/>
        </w:rPr>
        <w:t>(García de Fuentes et al., 2011)</w:t>
      </w:r>
      <w:r w:rsidRPr="00385C73">
        <w:rPr>
          <w:highlight w:val="cyan"/>
        </w:rPr>
        <w:fldChar w:fldCharType="end"/>
      </w:r>
    </w:p>
    <w:p w14:paraId="23187BEE" w14:textId="059DB84F" w:rsidR="00BF2A2D" w:rsidRDefault="00BF2A2D" w:rsidP="00BF2A2D">
      <w:pPr>
        <w:tabs>
          <w:tab w:val="clear" w:pos="454"/>
        </w:tabs>
        <w:autoSpaceDE/>
        <w:autoSpaceDN/>
        <w:adjustRightInd/>
        <w:spacing w:after="200" w:line="276" w:lineRule="auto"/>
        <w:ind w:firstLine="0"/>
        <w:jc w:val="left"/>
      </w:pPr>
      <w:r>
        <w:fldChar w:fldCharType="begin" w:fldLock="1"/>
      </w:r>
      <w:r w:rsidR="00194FB8">
        <w:instrText>ADDIN CSL_CITATION {"citationItems":[{"id":"ITEM-1","itemData":{"DOI":"10.14350/rig.60023","ISSN":"24487279","abstract":"On almost half century of the creation of Cancun, we consider important to analyze the territorial impacts of the Yucatan Peninsula touristification process, using as an instrument the technical cartography to express in an abstract way, examples of the complex processes of organization and re-organization of social, economic, political, cultural and environment life, linked to tourism as a lead element of capital accumulation of its whole territory.","author":[{"dropping-particle":"","family":"García de Fuentes","given":"Ana","non-dropping-particle":"","parse-names":false,"suffix":""},{"dropping-particle":"","family":"Jouault","given":"Samuel","non-dropping-particle":"","parse-names":false,"suffix":""},{"dropping-particle":"","family":"Romero","given":"David","non-dropping-particle":"","parse-names":false,"suffix":""}],"container-title":"Investigaciones Geográficas","id":"ITEM-1","issue":"100","issued":{"date-parts":[["2019"]]},"publisher":"Instituto de Geografia","title":"A cartographic representation of the touristification of Cancún and the Yucatan peninsula in the last 50 years","type":"article-journal"},"uris":["http://www.mendeley.com/documents/?uuid=87901855-e5c8-393d-8c2f-26f1e7c3dbb9"]}],"mendeley":{"formattedCitation":"(García de Fuentes et al., 2019)","plainTextFormattedCitation":"(García de Fuentes et al., 2019)","previouslyFormattedCitation":"(García de Fuentes et al., 2019)"},"properties":{"noteIndex":0},"schema":"https://github.com/citation-style-language/schema/raw/master/csl-citation.json"}</w:instrText>
      </w:r>
      <w:r>
        <w:fldChar w:fldCharType="separate"/>
      </w:r>
      <w:r w:rsidR="00B945C0" w:rsidRPr="00B945C0">
        <w:rPr>
          <w:noProof/>
        </w:rPr>
        <w:t>(</w:t>
      </w:r>
      <w:r w:rsidR="00B945C0" w:rsidRPr="00385C73">
        <w:rPr>
          <w:noProof/>
          <w:highlight w:val="cyan"/>
        </w:rPr>
        <w:t>García de Fuentes et al., 2019</w:t>
      </w:r>
      <w:r w:rsidR="00B945C0" w:rsidRPr="00B945C0">
        <w:rPr>
          <w:noProof/>
        </w:rPr>
        <w:t>)</w:t>
      </w:r>
      <w:r>
        <w:fldChar w:fldCharType="end"/>
      </w:r>
    </w:p>
    <w:p w14:paraId="43A52882" w14:textId="2DD7AA8A" w:rsidR="004323E8" w:rsidRDefault="004323E8">
      <w:pPr>
        <w:tabs>
          <w:tab w:val="clear" w:pos="454"/>
        </w:tabs>
        <w:autoSpaceDE/>
        <w:autoSpaceDN/>
        <w:adjustRightInd/>
        <w:spacing w:after="200" w:line="276" w:lineRule="auto"/>
        <w:ind w:firstLine="0"/>
        <w:jc w:val="left"/>
      </w:pPr>
      <w:r>
        <w:fldChar w:fldCharType="begin" w:fldLock="1"/>
      </w:r>
      <w:r w:rsidR="00B945C0">
        <w:instrText>ADDIN CSL_CITATION {"citationItems":[{"id":"ITEM-1","itemData":{"author":[{"dropping-particle":"","family":"Gobierno del Estado de Yucatán  2012-2018","given":"","non-dropping-particle":"","parse-names":false,"suffix":""}],"id":"ITEM-1","issued":{"date-parts":[["0"]]},"title":"Programa estatal de desarrollo urbano de Yucatán","type":"report"},"uris":["http://www.mendeley.com/documents/?uuid=3e559de4-3784-3b52-9c27-72e579e76640"]}],"mendeley":{"formattedCitation":"(Gobierno del Estado de Yucatán  2012-2018, n.d.)","plainTextFormattedCitation":"(Gobierno del Estado de Yucatán  2012-2018, n.d.)","previouslyFormattedCitation":"(Gobierno del Estado de Yucatán  2012-2018, n.d.)"},"properties":{"noteIndex":0},"schema":"https://github.com/citation-style-language/schema/raw/master/csl-citation.json"}</w:instrText>
      </w:r>
      <w:r>
        <w:fldChar w:fldCharType="separate"/>
      </w:r>
      <w:r w:rsidR="00B945C0" w:rsidRPr="00B945C0">
        <w:rPr>
          <w:noProof/>
        </w:rPr>
        <w:t>(Gobierno del Estado de Yucatán  2012-2018, n.d.)</w:t>
      </w:r>
      <w:r>
        <w:fldChar w:fldCharType="end"/>
      </w:r>
    </w:p>
    <w:p w14:paraId="1922A8FF" w14:textId="5E52F63D" w:rsidR="00BF2A2D" w:rsidRDefault="00BF2A2D" w:rsidP="00BF2A2D">
      <w:pPr>
        <w:tabs>
          <w:tab w:val="clear" w:pos="454"/>
        </w:tabs>
        <w:autoSpaceDE/>
        <w:autoSpaceDN/>
        <w:adjustRightInd/>
        <w:spacing w:after="200" w:line="276" w:lineRule="auto"/>
        <w:ind w:firstLine="0"/>
        <w:jc w:val="left"/>
      </w:pPr>
      <w:r>
        <w:fldChar w:fldCharType="begin" w:fldLock="1"/>
      </w:r>
      <w:r w:rsidR="00B945C0">
        <w:instrText>ADDIN CSL_CITATION {"citationItems":[{"id":"ITEM-1","itemData":{"ISBN":"978-607-96203-0-8","author":[{"dropping-particle":"","family":"Gómez Cano","given":"Juan Carlos","non-dropping-particle":"","parse-names":false,"suffix":""},{"dropping-particle":"","family":"Palma Ruíz","given":"Jesús Manuel","non-dropping-particle":"","parse-names":false,"suffix":""},{"dropping-particle":"","family":"Valles Baca","given":"Herik Germán","non-dropping-particle":"","parse-names":false,"suffix":""}],"container-title":"Los Retos de la Competitividad ante la Industria 4.0","id":"ITEM-1","issued":{"date-parts":[["2019"]]},"page":"245-265","publisher":"Red Internacional de Investigadores en Competitividad Universidad de Guadalajara","title":"Panorama del sector apícola en México:  Análisis estadístico de tendencias para el periodo de 2006 a 2016","type":"chapter"},"uris":["http://www.mendeley.com/documents/?uuid=33911bfe-2721-3956-8de3-0002b7f86e23"]}],"mendeley":{"formattedCitation":"(Gómez Cano et al., 2019)","plainTextFormattedCitation":"(Gómez Cano et al., 2019)","previouslyFormattedCitation":"(Gómez Cano et al., 2019)"},"properties":{"noteIndex":0},"schema":"https://github.com/citation-style-language/schema/raw/master/csl-citation.json"}</w:instrText>
      </w:r>
      <w:r>
        <w:fldChar w:fldCharType="separate"/>
      </w:r>
      <w:r w:rsidR="00B945C0" w:rsidRPr="00B945C0">
        <w:rPr>
          <w:noProof/>
        </w:rPr>
        <w:t>(</w:t>
      </w:r>
      <w:r w:rsidR="00B945C0" w:rsidRPr="002F2C00">
        <w:rPr>
          <w:noProof/>
          <w:highlight w:val="cyan"/>
        </w:rPr>
        <w:t>Gómez Cano et al., 2019</w:t>
      </w:r>
      <w:r w:rsidR="00B945C0" w:rsidRPr="00B945C0">
        <w:rPr>
          <w:noProof/>
        </w:rPr>
        <w:t>)</w:t>
      </w:r>
      <w:r>
        <w:fldChar w:fldCharType="end"/>
      </w:r>
    </w:p>
    <w:p w14:paraId="196D4688" w14:textId="6252375A" w:rsidR="004323E8" w:rsidRDefault="004323E8">
      <w:pPr>
        <w:tabs>
          <w:tab w:val="clear" w:pos="454"/>
        </w:tabs>
        <w:autoSpaceDE/>
        <w:autoSpaceDN/>
        <w:adjustRightInd/>
        <w:spacing w:after="200" w:line="276" w:lineRule="auto"/>
        <w:ind w:firstLine="0"/>
        <w:jc w:val="left"/>
      </w:pPr>
      <w:r>
        <w:fldChar w:fldCharType="begin" w:fldLock="1"/>
      </w:r>
      <w:r w:rsidR="005F7577">
        <w:instrText>ADDIN CSL_CITATION {"citationItems":[{"id":"ITEM-1","itemData":{"DOI":"10.1097/NNA.0b013e31828958cd","ISBN":"0002-0443","abstract":"Este capítulo contiene información obtenida a partir de un diagnóstico sobre el uso de plaguicidas en 7 municipios de los estados de Yucatán y Campeche, realizado durante los primeros meses de 2015. Tan solo en el estado de Yucatán se ha observado un enorme incremento en el consumo de agroquímicos, que entre 1990 y 2005 pasó de 606 a 4800 toneladas.","author":[{"dropping-particle":"","family":"Gómez González","given":"Irma","non-dropping-particle":"","parse-names":false,"suffix":""}],"chapter-number":"11","container-title":"Los Plaguidas Altamente Peligrosos en México.","edition":"1a","editor":[{"dropping-particle":"","family":"Bejarano González","given":"Fernando","non-dropping-particle":"","parse-names":false,"suffix":""}],"id":"ITEM-1","issued":{"date-parts":[["2017"]]},"page":"263-278","publisher":"(RAPAM), Red de Acción sobre plaguicidas y alternativas en Mëxico","publisher-place":"Texcoco","title":"El uso de los plaguicidas altamente peligrosos en Yucatán","type":"chapter"},"uris":["http://www.mendeley.com/documents/?uuid=c167d352-25f2-4a60-b528-972af642bd2f"]}],"mendeley":{"formattedCitation":"(Gómez González, 2017)","plainTextFormattedCitation":"(Gómez González, 2017)","previouslyFormattedCitation":"(Gómez González, 2017)"},"properties":{"noteIndex":0},"schema":"https://github.com/citation-style-language/schema/raw/master/csl-citation.json"}</w:instrText>
      </w:r>
      <w:r>
        <w:fldChar w:fldCharType="separate"/>
      </w:r>
      <w:r w:rsidR="005F7577" w:rsidRPr="005F7577">
        <w:rPr>
          <w:noProof/>
        </w:rPr>
        <w:t>(Gómez González, 2017)</w:t>
      </w:r>
      <w:r>
        <w:fldChar w:fldCharType="end"/>
      </w:r>
    </w:p>
    <w:p w14:paraId="4CBA8555" w14:textId="71EE764E" w:rsidR="004323E8" w:rsidRDefault="004323E8">
      <w:pPr>
        <w:tabs>
          <w:tab w:val="clear" w:pos="454"/>
        </w:tabs>
        <w:autoSpaceDE/>
        <w:autoSpaceDN/>
        <w:adjustRightInd/>
        <w:spacing w:after="200" w:line="276" w:lineRule="auto"/>
        <w:ind w:firstLine="0"/>
        <w:jc w:val="left"/>
      </w:pPr>
      <w:r>
        <w:fldChar w:fldCharType="begin" w:fldLock="1"/>
      </w:r>
      <w:r w:rsidR="00F91E76">
        <w:instrText>ADDIN CSL_CITATION {"citationItems":[{"id":"ITEM-1","itemData":{"ISBN":"978-607-7823-08-7","abstract":"Presenta una compilación de temas relacionados con la biodiversidad de Yucatán, sus usos, amenazas y potencialidades, así como la importancia que ha tenido la riqueza biológica en el desarrollo de la sociedad y la historia de los habitantes del Estado.","author":[{"dropping-particle":"","family":"González Acereto","given":"Jorge Ángel","non-dropping-particle":"","parse-names":false,"suffix":""},{"dropping-particle":"","family":"Quezada Euán","given":"José Javier","non-dropping-particle":"","parse-names":false,"suffix":""}],"chapter-number":"7. Uso de ","container-title":"Biodiversidad y desarrollo humano en Yucatán","edition":"1a","editor":[{"dropping-particle":"","family":"Durán García","given":"Rafael","non-dropping-particle":"","parse-names":false,"suffix":""},{"dropping-particle":"","family":"Méndez González","given":"Martha Elena","non-dropping-particle":"","parse-names":false,"suffix":""}],"id":"ITEM-1","issued":{"date-parts":[["2010"]]},"page":"496","publisher-place":"Mérida, Yucatán","title":"Producción tradicional de miel: abejas nativas sin aguijón (trigonas y melilponas","type":"chapter"},"uris":["http://www.mendeley.com/documents/?uuid=9ab67ce4-9d83-3e18-942b-ebccabd6af6d"]}],"mendeley":{"formattedCitation":"(González Acereto &amp; Quezada Euán, 2010)","plainTextFormattedCitation":"(González Acereto &amp; Quezada Euán, 2010)","previouslyFormattedCitation":"(González Acereto &amp; Quezada Euán, 2010)"},"properties":{"noteIndex":0},"schema":"https://github.com/citation-style-language/schema/raw/master/csl-citation.json"}</w:instrText>
      </w:r>
      <w:r>
        <w:fldChar w:fldCharType="separate"/>
      </w:r>
      <w:r w:rsidR="00FE1F09" w:rsidRPr="00FE1F09">
        <w:rPr>
          <w:noProof/>
        </w:rPr>
        <w:t>(</w:t>
      </w:r>
      <w:r w:rsidR="00FE1F09" w:rsidRPr="002F2C00">
        <w:rPr>
          <w:noProof/>
          <w:highlight w:val="cyan"/>
        </w:rPr>
        <w:t>González Acereto &amp; Quezada Euán, 2010</w:t>
      </w:r>
      <w:r w:rsidR="00FE1F09" w:rsidRPr="00FE1F09">
        <w:rPr>
          <w:noProof/>
        </w:rPr>
        <w:t>)</w:t>
      </w:r>
      <w:r>
        <w:fldChar w:fldCharType="end"/>
      </w:r>
    </w:p>
    <w:p w14:paraId="72632A68" w14:textId="47C7D085" w:rsidR="00750F91" w:rsidRDefault="002627AB">
      <w:pPr>
        <w:tabs>
          <w:tab w:val="clear" w:pos="454"/>
        </w:tabs>
        <w:autoSpaceDE/>
        <w:autoSpaceDN/>
        <w:adjustRightInd/>
        <w:spacing w:after="200" w:line="276" w:lineRule="auto"/>
        <w:ind w:firstLine="0"/>
        <w:jc w:val="left"/>
      </w:pPr>
      <w:r>
        <w:fldChar w:fldCharType="begin" w:fldLock="1"/>
      </w:r>
      <w:r w:rsidR="00194FB8">
        <w:instrText>ADDIN CSL_CITATION {"citationItems":[{"id":"ITEM-1","itemData":{"DOI":"10.20937/RICA.2018.34.04.09","ISSN":"01884999","author":[{"dropping-particle":"","family":"González Herrera","given":"Roger Amílcar","non-dropping-particle":"","parse-names":false,"suffix":""},{"dropping-particle":"","family":"Albornoz Euán","given":"Beth Sua Iztaccíhuatl","non-dropping-particle":"","parse-names":false,"suffix":""},{"dropping-particle":"","family":"Sánchez Y Pinto","given":"Ismael Abelardo","non-dropping-particle":"","parse-names":false,"suffix":""},{"dropping-particle":"","family":"Osorio Rodríguez","given":"José Humberto","non-dropping-particle":"","parse-names":false,"suffix":""}],"container-title":"Revista Internacional de Contaminación Ambiental","id":"ITEM-1","issue":"4","issued":{"date-parts":[["2018"]]},"page":"667-683","title":"El Acuífero yucateco. Análisis del Riesgo de contaminación con apoyo de un sistema de información geográfica.","type":"article-journal","volume":"34"},"uris":["http://www.mendeley.com/documents/?uuid=601238ab-8ebc-4cbb-9dfd-70ab475b3056"]}],"mendeley":{"formattedCitation":"(González Herrera et al., 2018)","plainTextFormattedCitation":"(González Herrera et al., 2018)","previouslyFormattedCitation":"(González Herrera et al., 2018)"},"properties":{"noteIndex":0},"schema":"https://github.com/citation-style-language/schema/raw/master/csl-citation.json"}</w:instrText>
      </w:r>
      <w:r>
        <w:fldChar w:fldCharType="separate"/>
      </w:r>
      <w:r w:rsidR="005F7577" w:rsidRPr="00B945C0">
        <w:rPr>
          <w:noProof/>
        </w:rPr>
        <w:t>(González Herrera et al., 2018)</w:t>
      </w:r>
      <w:r>
        <w:fldChar w:fldCharType="end"/>
      </w:r>
    </w:p>
    <w:p w14:paraId="2A6B1258" w14:textId="747E4995" w:rsidR="002627AB" w:rsidRDefault="002627AB">
      <w:pPr>
        <w:tabs>
          <w:tab w:val="clear" w:pos="454"/>
        </w:tabs>
        <w:autoSpaceDE/>
        <w:autoSpaceDN/>
        <w:adjustRightInd/>
        <w:spacing w:after="200" w:line="276" w:lineRule="auto"/>
        <w:ind w:firstLine="0"/>
        <w:jc w:val="left"/>
      </w:pPr>
      <w:r>
        <w:fldChar w:fldCharType="begin" w:fldLock="1"/>
      </w:r>
      <w:r w:rsidR="00194FB8">
        <w:instrText>ADDIN CSL_CITATION {"citationItems":[{"id":"ITEM-1","itemData":{"ISSN":"1012-1692","abstract":"Las lagunas costeras son un rasgo fisiográfico muy importante de las costas de la Península de Yucatán (SE, México), donde se desarrollan diferentes actividades impulsadas por su productividad, atractivo escénico y biodiversidad. Sin embargo, los servicios ambientales de algunas de ellas se han reducido a consecuencia del incremento en descargas de aguas residuales, modificaciones hidrológicas y cambios de uso de la tierra. Bajo este contexto, se caracterizó y diagnosticó la condición de las lagunas costeras de Yucatán, para orientar las acciones de manejo. Se analizaron los componentes de calidad del agua, fitoplancton y pastos marinos de 8 lagunas costeras de Yucatán. La variabilidad hidrológica se asocia al patrón climático y es dependiente del balance entre los aportes de agua dulce vía descargas subterráneas y los marinos, por lo que las lagunas presentan condiciones desde oligohalinas (&lt;10) hasta hiperhalinas (&gt;40). La calidad del agua en general es buena, sin embargo, se encuentra en un nivel de riesgo en las lagunas de Chelem y Bojorquez. En respuesta a ello, en estas mismas lagunas la abundancia de especies de fitoplancton nocivo y la cobertura de pastos marinos indican que se encuentran en condiciones de eutrofización cultural.","author":[{"dropping-particle":"","family":"Herrera-Silveira","given":"Jorge A","non-dropping-particle":"","parse-names":false,"suffix":""}],"container-title":"Ecotropicos","id":"ITEM-1","issue":"2","issued":{"date-parts":[["2006"]]},"page":"94-108","title":"Lagunas Costeras de Yucatán (SE, México): Investigación, Diagnóstico Y Manejo","type":"article-journal","volume":"19"},"uris":["http://www.mendeley.com/documents/?uuid=81916a6e-df94-4967-aec2-f4b44c587120"]}],"mendeley":{"formattedCitation":"(Herrera-Silveira, 2006)","plainTextFormattedCitation":"(Herrera-Silveira, 2006)","previouslyFormattedCitation":"(Herrera-Silveira, 2006)"},"properties":{"noteIndex":0},"schema":"https://github.com/citation-style-language/schema/raw/master/csl-citation.json"}</w:instrText>
      </w:r>
      <w:r>
        <w:fldChar w:fldCharType="separate"/>
      </w:r>
      <w:r w:rsidR="005F7577" w:rsidRPr="005F7577">
        <w:rPr>
          <w:noProof/>
        </w:rPr>
        <w:t>(</w:t>
      </w:r>
      <w:r w:rsidR="005F7577" w:rsidRPr="00385C73">
        <w:rPr>
          <w:noProof/>
          <w:highlight w:val="cyan"/>
        </w:rPr>
        <w:t>Herrera-Silveira, 2006)</w:t>
      </w:r>
      <w:r>
        <w:fldChar w:fldCharType="end"/>
      </w:r>
    </w:p>
    <w:p w14:paraId="02FF344C" w14:textId="78D1D3CF" w:rsidR="002627AB" w:rsidRDefault="002627AB">
      <w:pPr>
        <w:tabs>
          <w:tab w:val="clear" w:pos="454"/>
        </w:tabs>
        <w:autoSpaceDE/>
        <w:autoSpaceDN/>
        <w:adjustRightInd/>
        <w:spacing w:after="200" w:line="276" w:lineRule="auto"/>
        <w:ind w:firstLine="0"/>
        <w:jc w:val="left"/>
      </w:pPr>
      <w:r>
        <w:fldChar w:fldCharType="begin" w:fldLock="1"/>
      </w:r>
      <w:r w:rsidR="00B945C0">
        <w:instrText>ADDIN CSL_CITATION {"citationItems":[{"id":"ITEM-1","itemData":{"author":[{"dropping-particle":"","family":"Hoogesteijn","given":"Almira","non-dropping-particle":"","parse-names":false,"suffix":""},{"dropping-particle":"","family":"Febles-Patrón","given":"José Luis","non-dropping-particle":"","parse-names":false,"suffix":""},{"dropping-particle":"","family":"Nava-Galindo","given":"Violeta Amapola","non-dropping-particle":"","parse-names":false,"suffix":""}],"container-title":"Ingeniería","id":"ITEM-1","issue":"3","issued":{"date-parts":[["2015"]]},"page":"169-175","title":"La contaminación fecal en cenotes de interés turístico y recreacional del estado de Yucatán","type":"article-journal","volume":"19"},"uris":["http://www.mendeley.com/documents/?uuid=9c510b60-2fbb-3f81-a027-9e3ce7c1ee9b"]}],"mendeley":{"formattedCitation":"(Hoogesteijn et al., 2015)","plainTextFormattedCitation":"(Hoogesteijn et al., 2015)","previouslyFormattedCitation":"(Hoogesteijn et al., 2015)"},"properties":{"noteIndex":0},"schema":"https://github.com/citation-style-language/schema/raw/master/csl-citation.json"}</w:instrText>
      </w:r>
      <w:r>
        <w:fldChar w:fldCharType="separate"/>
      </w:r>
      <w:r w:rsidR="00B945C0" w:rsidRPr="00B945C0">
        <w:rPr>
          <w:noProof/>
        </w:rPr>
        <w:t>(Hoogesteijn et al., 2015)</w:t>
      </w:r>
      <w:r>
        <w:fldChar w:fldCharType="end"/>
      </w:r>
    </w:p>
    <w:p w14:paraId="0D170877" w14:textId="7E24521B" w:rsidR="00750F91" w:rsidRDefault="002627AB">
      <w:pPr>
        <w:tabs>
          <w:tab w:val="clear" w:pos="454"/>
        </w:tabs>
        <w:autoSpaceDE/>
        <w:autoSpaceDN/>
        <w:adjustRightInd/>
        <w:spacing w:after="200" w:line="276" w:lineRule="auto"/>
        <w:ind w:firstLine="0"/>
        <w:jc w:val="left"/>
      </w:pPr>
      <w:r>
        <w:fldChar w:fldCharType="begin" w:fldLock="1"/>
      </w:r>
      <w:r w:rsidR="00B945C0">
        <w:instrText>ADDIN CSL_CITATION {"citationItems":[{"id":"ITEM-1","itemData":{"author":[{"dropping-particle":"","family":"Kauffer","given":"E","non-dropping-particle":"","parse-names":false,"suffix":""},{"dropping-particle":"","family":"Villanueva","given":"C","non-dropping-particle":"","parse-names":false,"suffix":""}],"container-title":"Aqua-LAC","id":"ITEM-1","issue":"2","issued":{"date-parts":[["2011"]]},"page":"81-91","title":"Challenges of water management in a constructed watershed: the Yucatan Peninsula. Watershed in Mexico","type":"article-journal","volume":"3"},"uris":["http://www.mendeley.com/documents/?uuid=46cfd39a-301e-426b-91ac-1c2b470982b1"]}],"mendeley":{"formattedCitation":"(Kauffer &amp; Villanueva, 2011)","plainTextFormattedCitation":"(Kauffer &amp; Villanueva, 2011)","previouslyFormattedCitation":"(Kauffer &amp; Villanueva, 2011)"},"properties":{"noteIndex":0},"schema":"https://github.com/citation-style-language/schema/raw/master/csl-citation.json"}</w:instrText>
      </w:r>
      <w:r>
        <w:fldChar w:fldCharType="separate"/>
      </w:r>
      <w:r w:rsidR="00B945C0" w:rsidRPr="00B945C0">
        <w:rPr>
          <w:noProof/>
        </w:rPr>
        <w:t>(</w:t>
      </w:r>
      <w:r w:rsidR="00B945C0" w:rsidRPr="00385C73">
        <w:rPr>
          <w:noProof/>
          <w:highlight w:val="cyan"/>
        </w:rPr>
        <w:t>Kauffer &amp; Villanueva, 2011)</w:t>
      </w:r>
      <w:r>
        <w:fldChar w:fldCharType="end"/>
      </w:r>
    </w:p>
    <w:p w14:paraId="0B8E1058" w14:textId="02C87228" w:rsidR="00F443D2" w:rsidRDefault="00F443D2">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{"citationItems":[{"id":"ITEM-1","itemData":{"DOI":"10.1007/s10113-014-0739-0","ISBN":"1011301407","ISSN":"1436378X","abstract":"Detailed observations of natural and anthropogenic disturbance events that impact forest structure and the distribution of carbon are essential to estimate changes in terrestrial carbon pools and the associated emissions and removals of greenhouse gasses. Recent advances in remote sensing approaches have resulted in annual and decadal estimates of land-cover change derived from observations using broad-scale moderate resolution imaging spectroradiometer (MODIS) 250 m–1 km imagery. These land-use change estimates, however, are often not attributed directly to a cause or activity and are not well validated, especially in tropical areas. Knowledge of the type of disturbance that caused the observed land-cover changes is important, however, for the quantification of the associated impacts on ecosystem carbon stocks and fluxes. In this paper, we provide estimates of the amount of forest land-cover change in a Mexican forested region and propose an approach for attributing the cause of the observed changes to the underlying disturbance driver. To do so, we collate geospatial and remote sensing data from a variety of sources to summarize statistics about the major disturbances within the Yucatan Peninsula, an “early action” region for the reduction of emissions from deforestation and degradation, from 2005 to 2010. We combine the datasets to develop rules to estimate the likely disturbances that caused the observed land-cover changes based on their spatially explicit location. Finally, we compare our observed disturbance rates to those detected using classified land-cover data derived from MODIS.","author":[{"dropping-particle":"","family":"Mascorro","given":"Vanessa S.","non-dropping-particle":"","parse-names":false,"suffix":""},{"dropping-particle":"","family":"Coops","given":"Nicholas C.","non-dropping-particle":"","parse-names":false,"suffix":""},{"dropping-particle":"","family":"Kurz","given":"Werner A.","non-dropping-particle":"","parse-names":false,"suffix":""},{"dropping-particle":"","family":"Olguín","given":"Marcela","non-dropping-particle":"","parse-names":false,"suffix":""}],"container-title":"Regional Environmental Change","id":"ITEM-1","issue":"1","issued":{"date-parts":[["2016","1","1"]]},"page":"213-228","publisher":"Springer Verlag","title":"Attributing changes in land cover using independent disturbance datasets: a case study of the Yucatan Peninsula, Mexico","type":"article-journal","volume":"16"},"uris":["http://www.mendeley.com/documents/?uuid=d775a2f6-8727-4c76-8de5-350df944640f"]}],"mendeley":{"formattedCitation":"(Mascorro et al., 2016)","plainTextFormattedCitation":"(Mascorro et al., 2016)","previouslyFormattedCitation":"(Mascorro et al., 2016)"},"properties":{"noteIndex":0},"schema":"https://github.com/citation-style-language/schema/raw/master/csl-citation.json"}</w:instrText>
      </w:r>
      <w:r>
        <w:fldChar w:fldCharType="separate"/>
      </w:r>
      <w:r w:rsidR="005F7577" w:rsidRPr="00B945C0">
        <w:rPr>
          <w:noProof/>
        </w:rPr>
        <w:t>(</w:t>
      </w:r>
      <w:r w:rsidR="005F7577" w:rsidRPr="002F2C00">
        <w:rPr>
          <w:noProof/>
          <w:highlight w:val="cyan"/>
        </w:rPr>
        <w:t>Mascorro et al., 2016)</w:t>
      </w:r>
      <w:r>
        <w:fldChar w:fldCharType="end"/>
      </w:r>
    </w:p>
    <w:p w14:paraId="14B74CDC" w14:textId="13302FD0" w:rsidR="00B945C0" w:rsidRDefault="00B945C0">
      <w:pPr>
        <w:tabs>
          <w:tab w:val="clear" w:pos="454"/>
        </w:tabs>
        <w:autoSpaceDE/>
        <w:autoSpaceDN/>
        <w:adjustRightInd/>
        <w:spacing w:after="200" w:line="276" w:lineRule="auto"/>
        <w:ind w:firstLine="0"/>
        <w:jc w:val="left"/>
      </w:pPr>
      <w:r w:rsidRPr="00C432F0">
        <w:rPr>
          <w:highlight w:val="yellow"/>
        </w:rPr>
        <w:fldChar w:fldCharType="begin" w:fldLock="1"/>
      </w:r>
      <w:r w:rsidR="00194FB8" w:rsidRPr="00C432F0">
        <w:rPr>
          <w:highlight w:val="yellow"/>
        </w:rPr>
        <w:instrText>ADDIN CSL_CITATION {"citationItems":[{"id":"ITEM-1","itemData":{"abstract":"Resumen Con el propósito de estimar el potencial contaminante de las granjas porcinas y avícolas del estado de Yucatán, se realizó un censo de las granjas en operación y se recabó información de la SAGARPA sobre el número de animales en cada granja. Con base es estas informaciones y con resultados de diversos estudios se estimaron las cargas orgánicas generadas por las granjas porcinas y avícolas. Los resultados indican que existen 470 granjas porcinas y 185 granjas avícolas, de las cuales 304 y 76 respectivamente no están registradas en SAGARPA. La existencia total de cerdos en el Estado se estimó en 670,174 y generan diariamente 3,884.78 t de excretas, 9,428.37 m 3 /d de aguas residuales altamente contaminadas y una carga orgánica de 443,133.39 kg/d medida como DQO. Esta carga orgánica es similar a la que se produciría con las descargas de aguas residuales de 4,431,334 personas. Se estimó que el total de aves en granjas avícolas en el Estado es de: 237,813 pavos y 26,992,886 pollos que generan 234 t de desechos orgánicos sólidos que fácilmente pueden ser biodegradados. Con los resultados obtenidos de las cargas orgánicas generadas, geoposicionadas y agrupadas por municipios, se pueden realizar estudios para correlacionarlos con posibles afectaciones al medio ambiente y a la salud pública: calidad del agua subterránea, contaminación de suelos, morbilidad por enfermedades diarreicas, etc. Abstract In order to estimate the polluting potential of the poultry and swine farms in the state of Yucatán, a census of the operating farms in the State was performed, and information on the quantity of animals in each registered farm was obtained from SAGARPA. Based on the recovered information and on results from diverse studies, the organic charge generated by the poultry and swine farms was estimated. Results indicate that there are 470 swine and 185 poultry farms, of which 304 and 76 respectively, are not registered in SAGARPA. The estimated total population of pigs in the State was 670,174 which generate 3,884.78 tonnes of excreta daily, 9,428.37 m 3 /d of highly polluted wastewater, and an organic charge of 443,133.39 kg/d measured as COD. This organic charge is similar to that produced by 4,441,334 persons. A total population of 237,813 turkeys and 26,992,886 chickens were estimated, which generate 234 tonnes of organic waste which could be easily biodegraded. With the results of the organic charges generated, which were geopositioned and grouped by municipal…","author":[{"dropping-particle":"","family":"Méndez","given":"Novelo R.","non-dropping-particle":"","parse-names":false,"suffix":""},{"dropping-particle":"","family":"Castillo","given":"Borges E.","non-dropping-particle":"","parse-names":false,"suffix":""},{"dropping-particle":"","family":"Vázquez","given":"Borges E.","non-dropping-particle":"","parse-names":false,"suffix":""},{"dropping-particle":"","family":"Briceño","given":"Pérez O.","non-dropping-particle":"","parse-names":false,"suffix":""},{"dropping-particle":"V.","family":"Coronado","given":"Peraza","non-dropping-particle":"","parse-names":false,"suffix":""},{"dropping-particle":"","family":"Pat","given":"Canul R.","non-dropping-particle":"","parse-names":false,"suffix":""},{"dropping-particle":"","family":"Garrico","given":"Vivas P.","non-dropping-particle":"","parse-names":false,"suffix":""},{"dropping-particle":"","family":"Garrido","given":"Vivas P.","non-dropping-particle":"","parse-names":false,"suffix":""}],"container-title":"Ingeniería, Revista Académica de la FI-UADY","id":"ITEM-1","issue":"12","issued":{"date-parts":[["2009"]]},"page":"13-21","title":"Estimación del potencial contaminante de las granjas porcinas y avícolas del estado de Yucatán Estimation of the polluting potential of poultry and swine farms in the State of Yucatan","type":"article-journal","volume":"13"},"uris":["http://www.mendeley.com/documents/?uuid=7a9c13f0-5592-4ce5-801b-80c2256ac000"]}],"mendeley":{"formattedCitation":"(Méndez et al., 2009)","plainTextFormattedCitation":"(Méndez et al., 2009)","previouslyFormattedCitation":"(Méndez et al., 2009)"},"properties":{"noteIndex":0},"schema":"https://github.com/citation-style-language/schema/raw/master/csl-citation.json"}</w:instrText>
      </w:r>
      <w:r w:rsidRPr="00C432F0">
        <w:rPr>
          <w:highlight w:val="yellow"/>
        </w:rPr>
        <w:fldChar w:fldCharType="separate"/>
      </w:r>
      <w:r w:rsidRPr="00C432F0">
        <w:rPr>
          <w:noProof/>
          <w:highlight w:val="yellow"/>
        </w:rPr>
        <w:t>(Méndez et al., 2009)</w:t>
      </w:r>
      <w:r w:rsidRPr="00C432F0">
        <w:rPr>
          <w:highlight w:val="yellow"/>
        </w:rPr>
        <w:fldChar w:fldCharType="end"/>
      </w:r>
      <w:r w:rsidR="00C432F0">
        <w:t xml:space="preserve"> </w:t>
      </w:r>
    </w:p>
    <w:p w14:paraId="484663D9" w14:textId="77777777" w:rsidR="00BF2A2D" w:rsidRDefault="00BF2A2D" w:rsidP="00BF2A2D">
      <w:pPr>
        <w:tabs>
          <w:tab w:val="clear" w:pos="454"/>
        </w:tabs>
        <w:autoSpaceDE/>
        <w:autoSpaceDN/>
        <w:adjustRightInd/>
        <w:spacing w:after="200" w:line="276" w:lineRule="auto"/>
        <w:ind w:firstLine="0"/>
        <w:jc w:val="left"/>
      </w:pPr>
      <w:r>
        <w:fldChar w:fldCharType="begin" w:fldLock="1"/>
      </w:r>
      <w:r>
        <w:instrText>ADDIN CSL_CITATION {"citationItems":[{"id":"ITEM-1","itemData":{"author":[{"dropping-particle":"","family":"OCDE","given":"","non-dropping-particle":"","parse-names":false,"suffix":""}],"id":"ITEM-1","issued":{"date-parts":[["2019"]]},"title":"Exámenes de mercado en México. Estudio de caso del mercado de la carne de cerdo","type":"report"},"uris":["http://www.mendeley.com/documents/?uuid=299e76ca-262d-3c8b-97bd-eca1de3dc60a"]}],"mendeley":{"formattedCitation":"(OCDE, 2019)","plainTextFormattedCitation":"(OCDE, 2019)","previouslyFormattedCitation":"(OCDE, 2019)"},"properties":{"noteIndex":0},"schema":"https://github.com/citation-style-language/schema/raw/master/csl-citation.json"}</w:instrText>
      </w:r>
      <w:r>
        <w:fldChar w:fldCharType="separate"/>
      </w:r>
      <w:r w:rsidRPr="005F7577">
        <w:rPr>
          <w:noProof/>
        </w:rPr>
        <w:t>(OCDE, 2019)</w:t>
      </w:r>
      <w:r>
        <w:fldChar w:fldCharType="end"/>
      </w:r>
    </w:p>
    <w:p w14:paraId="24EA1E8F" w14:textId="220AC2B7" w:rsidR="00F443D2" w:rsidRDefault="00F443D2">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{"citationItems":[{"id":"ITEM-1","itemData":{"DOI":"10.20983/noesis.2017.2.1","ISSN":"01889834","abstract":"Este artículo analiza las condiciones socioeconómicas entre los habitantes de la Reserva Ecológica Cuxtal (REC), la cual sufre los efectos de la expansión urbana sobre la cobertura forestal. Para conocer su situación actual se aplicaron 400 cuestionarios en comunidades que se localizan al interior de la REC. Se describen los aspectos socioeconómicos y actividades productivas que provocan afectaciones a la reserva, como el cambio de uso del suelo. Los resultados del trabajo indican que los habitantes de la reserva no tienen conocimientos básicos del área en protección. De igual modo se presenta un modelo PROBIT la cual analiza cómo la población es motivada a realizar trabajos fuera de la reserva a causa del bajo nivel de ingreso.","author":[{"dropping-particle":"","family":"Ortiz-Pech","given":"Rafael","non-dropping-particle":"","parse-names":false,"suffix":""},{"dropping-particle":"","family":"Celis Fajardo","given":"Henry Emmanuel","non-dropping-particle":"","parse-names":false,"suffix":""},{"dropping-particle":"","family":"Garcia Gil","given":"Gerardo","non-dropping-particle":"","parse-names":false,"suffix":""}],"container-title":"Nóesis. Revista de Ciencias Sociales y Humanidades","id":"ITEM-1","issue":"52","issued":{"date-parts":[["2017","7","1"]]},"page":"1-22","publisher":"Noesis - Revista de Ciencias Sociales y Humanidades","title":"Impacto de las actividades productivas y de la expansión urbana sobre una reserva ecológica; el caso de Cuxtal, Yucatán; México","type":"article-journal","volume":"26"},"uris":["http://www.mendeley.com/documents/?uuid=13667f2d-bafb-3d32-b668-f804e1e5b1dc"]}],"mendeley":{"formattedCitation":"(Ortiz-Pech et al., 2017)","plainTextFormattedCitation":"(Ortiz-Pech et al., 2017)","previouslyFormattedCitation":"(Ortiz-Pech et al., 2017)"},"properties":{"noteIndex":0},"schema":"https://github.com/citation-style-language/schema/raw/master/csl-citation.json"}</w:instrText>
      </w:r>
      <w:r>
        <w:fldChar w:fldCharType="separate"/>
      </w:r>
      <w:r w:rsidR="00B945C0" w:rsidRPr="00B945C0">
        <w:rPr>
          <w:noProof/>
        </w:rPr>
        <w:t>(</w:t>
      </w:r>
      <w:r w:rsidR="00B945C0" w:rsidRPr="00385C73">
        <w:rPr>
          <w:noProof/>
          <w:highlight w:val="cyan"/>
        </w:rPr>
        <w:t>Ortiz-Pech et al., 2017</w:t>
      </w:r>
      <w:r w:rsidR="00B945C0" w:rsidRPr="00B945C0">
        <w:rPr>
          <w:noProof/>
        </w:rPr>
        <w:t>)</w:t>
      </w:r>
      <w:r>
        <w:fldChar w:fldCharType="end"/>
      </w:r>
    </w:p>
    <w:p w14:paraId="31C24870" w14:textId="2B9866CC" w:rsidR="00F443D2" w:rsidRDefault="00F443D2">
      <w:pPr>
        <w:tabs>
          <w:tab w:val="clear" w:pos="454"/>
        </w:tabs>
        <w:autoSpaceDE/>
        <w:autoSpaceDN/>
        <w:adjustRightInd/>
        <w:spacing w:after="200" w:line="276" w:lineRule="auto"/>
        <w:ind w:firstLine="0"/>
        <w:jc w:val="left"/>
      </w:pPr>
      <w:r>
        <w:fldChar w:fldCharType="begin" w:fldLock="1"/>
      </w:r>
      <w:r w:rsidR="00B945C0">
        <w:instrText>ADDIN CSL_CITATION {"citationItems":[{"id":"ITEM-1","itemData":{"ISSN":"1665-529X","abstract":"La naturaleza cárstica del Estado de Yucatán, hace que el agua subterránea sea el único medio de abastecimiento y que sea muy vulnerable a la contaminación. En la mayoría de los sistemas de abastecimiento municipales, el uso del suelo en los alrededores es principalmente habitacional, agrícola y pecuario, por lo que el uso no controlado de agroquímicos y la disposición inadecuada de los desechos, son las principales fuentes de la contaminación del agua subterránea. Con la finalidad de elaborar un diagnóstico de la calidad en los pozos de extracción de agua potable, se evaluó la calidad química y bacteriológica del agua subterránea. Durante los muestreos, se recolectaron muestras en los sistemas de agua potable de las 106 cabeceras municipales del Estado de Yucatán. Los resultados mostraron que el agua subterránea del Estado de Yucatán presenta una calidad bacteriológica clasificada como \" peligrosa \" y \" muy contaminada \" en la parte oriental del estado. Las clasificaciones de la calidad química del agua subterránea en función al número de parámetros químicos que excedieron los límites permisibles por la Norma Oficial Mexicana (nitratos, cloruros, sodio, dureza total y cadmio), fueron de: \" buena calidad \" , aquellos municipios que no rebasaron la norma; \" calidad baja \" , los municipios en los que únicamente un parámetro excedió la norma (13.21%); \" calidad media \" , los municipios en donde 2 o 3 parámetros excedieron la norma (52.83%) y; \" mala calidad \" , los municipios en los que 4 y 5 parámetros (7.55%)excedieron la norma. De manera general, la calidad química del agua subterránea con fines de abastecimiento en los sistemas municipales es aceptable para la mayoría de los 106 sistemas estudiados, ya que de los 22 parámetros químicos estudiados, solo 5 excedieron los límites máximos permisibles por la Norma; sin embargo, la calidad bacteriológica no es aceptable. Palabras clave: Aguas subterráneas, contaminación, nitratos, cloruros.","author":[{"dropping-particle":"","family":"Pacheco-Ávila","given":"Julia","non-dropping-particle":"","parse-names":false,"suffix":""},{"dropping-particle":"","family":"Cabrera Sansores","given":"Armando","non-dropping-particle":"","parse-names":false,"suffix":""},{"dropping-particle":"","family":"Pérez-Ceballos","given":"Rosela","non-dropping-particle":"","parse-names":false,"suffix":""}],"container-title":"Ingeniería","id":"ITEM-1","issue":"2","issued":{"date-parts":[["2004"]]},"page":"165-179","title":"Diagnóstico de la calidad del agua subterránea en los sistemas municipales de abastecimiento en el Estado de Yucatán, México","type":"article-journal","volume":"8"},"uris":["http://www.mendeley.com/documents/?uuid=da39aa80-373f-45d1-b656-5f7deaecaffe"]}],"mendeley":{"formattedCitation":"(Pacheco-Ávila et al., 2004)","plainTextFormattedCitation":"(Pacheco-Ávila et al., 2004)","previouslyFormattedCitation":"(Pacheco-Ávila et al., 2004)"},"properties":{"noteIndex":0},"schema":"https://github.com/citation-style-language/schema/raw/master/csl-citation.json"}</w:instrText>
      </w:r>
      <w:r>
        <w:fldChar w:fldCharType="separate"/>
      </w:r>
      <w:r w:rsidR="00B945C0" w:rsidRPr="00B945C0">
        <w:rPr>
          <w:noProof/>
        </w:rPr>
        <w:t>(Pacheco-Ávila et al., 2004)</w:t>
      </w:r>
      <w:r>
        <w:fldChar w:fldCharType="end"/>
      </w:r>
    </w:p>
    <w:p w14:paraId="7474BEFA" w14:textId="1D97FE46" w:rsidR="00F443D2" w:rsidRDefault="00F443D2">
      <w:pPr>
        <w:tabs>
          <w:tab w:val="clear" w:pos="454"/>
        </w:tabs>
        <w:autoSpaceDE/>
        <w:autoSpaceDN/>
        <w:adjustRightInd/>
        <w:spacing w:after="200" w:line="276" w:lineRule="auto"/>
        <w:ind w:firstLine="0"/>
        <w:jc w:val="left"/>
      </w:pPr>
      <w:r>
        <w:fldChar w:fldCharType="begin" w:fldLock="1"/>
      </w:r>
      <w:r w:rsidR="005F7577">
        <w:instrText>ADDIN CSL_CITATION {"citationItems":[{"id":"ITEM-1","itemData":{"ISSN":"2395-8790","author":[{"dropping-particle":"","family":"Reyes Maturano","given":"Ivet","non-dropping-particle":"","parse-names":false,"suffix":""}],"container-title":"Desde el Herbario CICY","id":"ITEM-1","issued":{"date-parts":[["2017"]]},"page":"118-125","title":"Yucatán ante un nuevo horizonte: Urgencia de conocimiento científico en el proceso local de la transición energética","type":"article-journal","volume":"9"},"uris":["http://www.mendeley.com/documents/?uuid=dbf584ee-9f3c-3db3-89d0-b142f0d52a13"]}],"mendeley":{"formattedCitation":"(Reyes Maturano, 2017)","plainTextFormattedCitation":"(Reyes Maturano, 2017)","previouslyFormattedCitation":"(Reyes Maturano, 2017)"},"properties":{"noteIndex":0},"schema":"https://github.com/citation-style-language/schema/raw/master/csl-citation.json"}</w:instrText>
      </w:r>
      <w:r>
        <w:fldChar w:fldCharType="separate"/>
      </w:r>
      <w:r w:rsidR="005F7577" w:rsidRPr="005F7577">
        <w:rPr>
          <w:noProof/>
        </w:rPr>
        <w:t>(Reyes Maturano, 2017)</w:t>
      </w:r>
      <w:r>
        <w:fldChar w:fldCharType="end"/>
      </w:r>
    </w:p>
    <w:p w14:paraId="3DE3E585" w14:textId="688A6793" w:rsidR="0015549E" w:rsidRDefault="0015549E">
      <w:pPr>
        <w:tabs>
          <w:tab w:val="clear" w:pos="454"/>
        </w:tabs>
        <w:autoSpaceDE/>
        <w:autoSpaceDN/>
        <w:adjustRightInd/>
        <w:spacing w:after="200" w:line="276" w:lineRule="auto"/>
        <w:ind w:firstLine="0"/>
        <w:jc w:val="left"/>
      </w:pPr>
      <w:r w:rsidRPr="00385C73">
        <w:rPr>
          <w:highlight w:val="cyan"/>
        </w:rPr>
        <w:fldChar w:fldCharType="begin" w:fldLock="1"/>
      </w:r>
      <w:r w:rsidR="00B945C0" w:rsidRPr="00385C73">
        <w:rPr>
          <w:highlight w:val="cyan"/>
        </w:rPr>
        <w:instrText>ADDIN CSL_CITATION {"citationItems":[{"id":"ITEM-1","itemData":{"DOI":"10.36677/qret.v22i1","author":[{"dropping-particle":"","family":"Rodríguez-Robayo","given":"Karla Juliana","non-dropping-particle":"","parse-names":false,"suffix":""},{"dropping-particle":"","family":"Méndez-López","given":"María Elenea","non-dropping-particle":"","parse-names":false,"suffix":""},{"dropping-particle":"","family":"Juarez-Téllez","given":"Lilián","non-dropping-particle":"","parse-names":false,"suffix":""},{"dropping-particle":"","family":"Peralta-Blanco","given":"Rosa Martha","non-dropping-particle":"","parse-names":false,"suffix":""}],"container-title":"Quivera","id":"ITEM-1","issued":{"date-parts":[["2020"]]},"page":"97-126","title":"Configuración de los sistemas socio-ecológicos en zonas metropolitanas. La experiencia en Mérida, Yucatán, México","type":"article-journal"},"uris":["http://www.mendeley.com/documents/?uuid=dd3e0879-5d34-3c4a-8df1-be8ac7a4fc66"]}],"mendeley":{"formattedCitation":"(Rodríguez-Robayo et al., 2020)","plainTextFormattedCitation":"(Rodríguez-Robayo et al., 2020)","previouslyFormattedCitation":"(Rodríguez-Robayo et al., 2020)"},"properties":{"noteIndex":0},"schema":"https://github.com/citation-style-language/schema/raw/master/csl-citation.json"}</w:instrText>
      </w:r>
      <w:r w:rsidRPr="00385C73">
        <w:rPr>
          <w:highlight w:val="cyan"/>
        </w:rPr>
        <w:fldChar w:fldCharType="separate"/>
      </w:r>
      <w:r w:rsidR="005F7577" w:rsidRPr="00385C73">
        <w:rPr>
          <w:noProof/>
          <w:highlight w:val="cyan"/>
        </w:rPr>
        <w:t>(Rodríguez-Robayo et al., 2020)</w:t>
      </w:r>
      <w:r w:rsidRPr="00385C73">
        <w:rPr>
          <w:highlight w:val="cyan"/>
        </w:rPr>
        <w:fldChar w:fldCharType="end"/>
      </w:r>
    </w:p>
    <w:p w14:paraId="0242DB36" w14:textId="677869F0" w:rsidR="00B3292E" w:rsidRDefault="00F443D2" w:rsidP="00B3292E">
      <w:pPr>
        <w:tabs>
          <w:tab w:val="clear" w:pos="454"/>
        </w:tabs>
        <w:autoSpaceDE/>
        <w:autoSpaceDN/>
        <w:adjustRightInd/>
        <w:spacing w:after="200" w:line="276" w:lineRule="auto"/>
        <w:ind w:firstLine="0"/>
        <w:jc w:val="left"/>
      </w:pPr>
      <w:r>
        <w:fldChar w:fldCharType="begin" w:fldLock="1"/>
      </w:r>
      <w:r w:rsidR="00BF6F8A">
        <w:instrText>ADDIN CSL_CITATION {"citationItems":[{"id":"ITEM-1","itemData":{"DOI":"10.3390/su8121316","ISSN":"20711050","abstract":"This paper presents a unique sustainability analysis of one of the first attempts to establish a biodiesel industry in Mexico. From 2008, several companies established medium to large-sized Jatropha curcas plantations in Yucatan, hiring local peasants to carry out the agricultural work. After five years, the plantations were abandoned due to poor seed yields and a lack of key knowledge for large-scale cultivation. Based on a multidisciplinary approach, we performed a three-dimensional sustainability evaluation of the potential biodiesel production chain, which included household interviews, a socioeconomic survey, and a life-cycle assessment (LCA).We identified both negative and positive effects in the three dimensions analyzed. Socially and culturally, the local peasant families understood sustainability as their ability to preserve their traditional lifestyle, and associated environmental services with their sense of identity. They therefore considered the jatropha plantations to be positive for sustainability, since they brought income, even though some perceived damage to the natural resources of the surrounding areas. Economically, peasants' annual household income increased by approximately $1080 USD due to the increased salaries paid by the jatropha companies. The LCA predicted large savings of greenhouse gas emissions ( &gt; 50% compared to fossil diesel), but also potential negative impacts in some categories (human/ecological toxicity and eutrophication potentials) associated with the use of mineral fertilizers, insecticides, and pesticides applied during the cultivation stage. Biodiesel production would be potentially energetically self-sufficient, in addition to producing a 40% energy surplus. Finally, even though the sustainability indicators suggested a positive overall assessment, the reality was that the jatropha projects failed because they were predicated on unrealistically optimistic projections and poor agronomic knowledge of the plant.","author":[{"dropping-particle":"","family":"Sacramento Rivero","given":"Julio C.","non-dropping-particle":"","parse-names":false,"suffix":""},{"dropping-particle":"","family":"Eastmond-Spencer","given":"Amarella","non-dropping-particle":"","parse-names":false,"suffix":""},{"dropping-particle":"","family":"Becerril García","given":"Javier","non-dropping-particle":"","parse-names":false,"suffix":""},{"dropping-particle":"","family":"Navarro-Pineda","given":"Freddy S.","non-dropping-particle":"","parse-names":false,"suffix":""}],"container-title":"Sustainability (Switzerland)","id":"ITEM-1","issue":"12","issued":{"date-parts":[["2016"]]},"publisher":"MDPI AG","title":"A three-dimensional sustainability evaluation of Jatropha plantations in Yucatan, Mexico","type":"article-journal","volume":"8"},"uris":["http://www.mendeley.com/documents/?uuid=8ffbd7ea-509b-4f44-8289-e193de837e29"]}],"mendeley":{"formattedCitation":"(Sacramento Rivero et al., 2016)","plainTextFormattedCitation":"(Sacramento Rivero et al., 2016)","previouslyFormattedCitation":"(Sacramento Rivero et al., 2016)"},"properties":{"noteIndex":0},"schema":"https://github.com/citation-style-language/schema/raw/master/csl-citation.json"}</w:instrText>
      </w:r>
      <w:r>
        <w:fldChar w:fldCharType="separate"/>
      </w:r>
      <w:r w:rsidR="00BF7831" w:rsidRPr="00BF7831">
        <w:rPr>
          <w:noProof/>
        </w:rPr>
        <w:t>(Sacramento Rivero et al., 2016)</w:t>
      </w:r>
      <w:r>
        <w:fldChar w:fldCharType="end"/>
      </w:r>
    </w:p>
    <w:p w14:paraId="38A25D07" w14:textId="69386472" w:rsidR="000A32F9" w:rsidRDefault="00B15E26">
      <w:pPr>
        <w:tabs>
          <w:tab w:val="clear" w:pos="454"/>
        </w:tabs>
        <w:autoSpaceDE/>
        <w:autoSpaceDN/>
        <w:adjustRightInd/>
        <w:spacing w:after="200" w:line="276" w:lineRule="auto"/>
        <w:ind w:firstLine="0"/>
        <w:jc w:val="left"/>
      </w:pPr>
      <w:r>
        <w:fldChar w:fldCharType="begin" w:fldLock="1"/>
      </w:r>
      <w:r w:rsidR="00194FB8">
        <w:instrText>ADDIN CSL_CITATION {"citationItems":[{"id":"ITEM-1","itemData":{"ISBN":"968-5480-73-7","author":[{"dropping-particle":"","family":"Salas","given":"Silvia","non-dropping-particle":"","parse-names":false,"suffix":""},{"dropping-particle":"","family":"Mexicano-Cíntora","given":"Guadalupe","non-dropping-particle":"","parse-names":false,"suffix":""},{"dropping-particle":"","family":"Cabrera","given":"Miguel A","non-dropping-particle":"","parse-names":false,"suffix":""}],"edition":"Primera","id":"ITEM-1","issued":{"date-parts":[["2006"]]},"publisher":"Centro de Investigación y Estudios Avanzados, Unidad Mérida","publisher-place":"Mérida","title":"¿Hacia donde van las pesquerías en Yucatán? Tendencias, Retos y Perspectivas","type":"book"},"uris":["http://www.mendeley.com/documents/?uuid=74625550-cf4b-4e76-8567-1cdbd57b8dee"]}],"mendeley":{"formattedCitation":"(Salas et al., 2006)","plainTextFormattedCitation":"(Salas et al., 2006)","previouslyFormattedCitation":"(Salas et al., 2006)"},"properties":{"noteIndex":0},"schema":"https://github.com/citation-style-language/schema/raw/master/csl-citation.json"}</w:instrText>
      </w:r>
      <w:r>
        <w:fldChar w:fldCharType="separate"/>
      </w:r>
      <w:r w:rsidR="00B945C0" w:rsidRPr="00B945C0">
        <w:rPr>
          <w:noProof/>
        </w:rPr>
        <w:t>(Salas et al., 2006)</w:t>
      </w:r>
      <w:r>
        <w:fldChar w:fldCharType="end"/>
      </w:r>
    </w:p>
    <w:p w14:paraId="6EEC65CE" w14:textId="5F186EFF" w:rsidR="00B15E26" w:rsidRDefault="00B15E26">
      <w:pPr>
        <w:tabs>
          <w:tab w:val="clear" w:pos="454"/>
        </w:tabs>
        <w:autoSpaceDE/>
        <w:autoSpaceDN/>
        <w:adjustRightInd/>
        <w:spacing w:after="200" w:line="276" w:lineRule="auto"/>
        <w:ind w:firstLine="0"/>
        <w:jc w:val="left"/>
      </w:pPr>
      <w:r>
        <w:fldChar w:fldCharType="begin" w:fldLock="1"/>
      </w:r>
      <w:r w:rsidR="00B945C0">
        <w:instrText>ADDIN CSL_CITATION {"citationItems":[{"id":"ITEM-1","itemData":{"ISBN":"978-607-97421-2-6","abstract":"En este capítulo se revisan los principales factores que afectan la calidad y el valor nutritivo de la miel; de conformidad con los ries- gos alimentarios, se describen brevemente los indicadores básicos que influyen en la seguridad de la miel y que son capaces de hacer de este producto un peligro para los consumidores. Se incluyen los contaminantes físicos, químicos y biológicos, catalogados según su origen como contaminantes medioambientales o adquiridos duran- te el manejo agropecuario, de envasado y comercialización.","author":[{"dropping-particle":"","family":"Sánchez-Contreras","given":"A.","non-dropping-particle":"","parse-names":false,"suffix":""},{"dropping-particle":"","family":"Martínez-Benavides","given":"E.","non-dropping-particle":"","parse-names":false,"suffix":""},{"dropping-particle":"","family":"Fabela-Morón","given":"Mi.","non-dropping-particle":"","parse-names":false,"suffix":""},{"dropping-particle":"","family":"Pacheco-López","given":"N.","non-dropping-particle":"","parse-names":false,"suffix":""},{"dropping-particle":"","family":"González-Flores","given":"T.","non-dropping-particle":"","parse-names":false,"suffix":""}],"chapter-number":"V","container-title":"Producción y comercialización de miel y sus derivados en México: Desafíos y oportunidades para la exportación","editor":[{"dropping-particle":"","family":"Ramos Díaz","given":"A.","non-dropping-particle":"","parse-names":false,"suffix":""},{"dropping-particle":"","family":"Pacheco López","given":"N.","non-dropping-particle":"","parse-names":false,"suffix":""}],"id":"ITEM-1","issued":{"date-parts":[["2016"]]},"page":"98-121","publisher":"Centro de Investigación y Asistencia en Tecnología y Diseño del Estado de Jalisco A.C. (CIATEJ), CONACYT","publisher-place":"Mérida","title":"Inocuidad de la miel","type":"chapter"},"uris":["http://www.mendeley.com/documents/?uuid=5ce57b16-660a-4b2f-89e9-6f6962342881"]}],"mendeley":{"formattedCitation":"(Sánchez-Contreras et al., 2016)","plainTextFormattedCitation":"(Sánchez-Contreras et al., 2016)","previouslyFormattedCitation":"(Sánchez-Contreras et al., 2016)"},"properties":{"noteIndex":0},"schema":"https://github.com/citation-style-language/schema/raw/master/csl-citation.json"}</w:instrText>
      </w:r>
      <w:r>
        <w:fldChar w:fldCharType="separate"/>
      </w:r>
      <w:r w:rsidR="005F7577" w:rsidRPr="00B945C0">
        <w:rPr>
          <w:noProof/>
        </w:rPr>
        <w:t>(Sánchez-Contreras et al., 2016)</w:t>
      </w:r>
      <w:r>
        <w:fldChar w:fldCharType="end"/>
      </w:r>
    </w:p>
    <w:p w14:paraId="313176C5" w14:textId="767AAF88" w:rsidR="00B15E26" w:rsidRDefault="00B15E26">
      <w:pPr>
        <w:tabs>
          <w:tab w:val="clear" w:pos="454"/>
        </w:tabs>
        <w:autoSpaceDE/>
        <w:autoSpaceDN/>
        <w:adjustRightInd/>
        <w:spacing w:after="200" w:line="276" w:lineRule="auto"/>
        <w:ind w:firstLine="0"/>
        <w:jc w:val="left"/>
      </w:pPr>
      <w:r w:rsidRPr="00385C73">
        <w:rPr>
          <w:highlight w:val="cyan"/>
        </w:rPr>
        <w:fldChar w:fldCharType="begin" w:fldLock="1"/>
      </w:r>
      <w:r w:rsidR="00194FB8" w:rsidRPr="00385C73">
        <w:rPr>
          <w:highlight w:val="cyan"/>
        </w:rPr>
        <w:instrText>ADDIN CSL_CITATION {"citationItems":[{"id":"ITEM-1","itemData":{"DOI":"10.17129/botsci.2319","ISSN":"03662128","abstract":"En total se registraron 71 especies de plantas vasculares pertenecientes a 36 familias. Se detectaron comunidades de dos tipos, aquellas con una estructura arbustiva e individuos menores a 3 m; y aquellas con vegetación arbórea e individuos de mayor altura. Se determinaron los valores de diversidad alfa (26.6), gamma (71) y beta (2.66). Mediante el análisis de clasifi cación y ordenación se distinguieron tres grupos de vegetación: G1) en la parte oeste del litoral teniendo como especies importantes Pithecellobium keyense y Sideroxylon americanum, G2) en la parte centro Coccothrinax readii, Bravaisia berlandieriana y Metopium brownei, G3) en la parte este Coccothrinax readii, Thrinax radiata y Pseudophoenix sargenti. El es- tudio permitió documentar la heterogeneidad fl orística y estructural de las comunidades de dunas a lo largo del litoral y explorar algunas variables que contribuyan a explicarla","author":[{"dropping-particle":"","family":"Torres","given":"Wendy","non-dropping-particle":"","parse-names":false,"suffix":""},{"dropping-particle":"","family":"Méndez","given":"Martha","non-dropping-particle":"","parse-names":false,"suffix":""},{"dropping-particle":"","family":"Dorantes","given":"Alfredo","non-dropping-particle":"","parse-names":false,"suffix":""},{"dropping-particle":"","family":"Durán","given":"Rafael","non-dropping-particle":"","parse-names":false,"suffix":""}],"container-title":"Boletin de la Sociedad Botánica de México","id":"ITEM-1","issued":{"date-parts":[["2010"]]},"page":"37-51","title":"Estructura, composición y diversidad del matorral de duna costera en el litoral yucateco","type":"article-journal","volume":"86"},"uris":["http://www.mendeley.com/documents/?uuid=f7704e42-9bb8-47bc-ab8e-ab80ccecda05"]}],"mendeley":{"formattedCitation":"(Torres et al., 2010)","plainTextFormattedCitation":"(Torres et al., 2010)","previouslyFormattedCitation":"(Torres et al., 2010)"},"properties":{"noteIndex":0},"schema":"https://github.com/citation-style-language/schema/raw/master/csl-citation.json"}</w:instrText>
      </w:r>
      <w:r w:rsidRPr="00385C73">
        <w:rPr>
          <w:highlight w:val="cyan"/>
        </w:rPr>
        <w:fldChar w:fldCharType="separate"/>
      </w:r>
      <w:r w:rsidR="005F7577" w:rsidRPr="00385C73">
        <w:rPr>
          <w:noProof/>
          <w:highlight w:val="cyan"/>
        </w:rPr>
        <w:t>(Torres et al., 2010)</w:t>
      </w:r>
      <w:r w:rsidRPr="00385C73">
        <w:rPr>
          <w:highlight w:val="cyan"/>
        </w:rPr>
        <w:fldChar w:fldCharType="end"/>
      </w:r>
    </w:p>
    <w:p w14:paraId="7E3DAB78" w14:textId="70265F2B" w:rsidR="00B15E26" w:rsidRDefault="00B15E26">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{"citationItems":[{"id":"ITEM-1","itemData":{"DOI":"10.1111/gcb.13791","ISSN":"13652486","PMID":"28614629","abstract":"Balancing the production of food, particularly meat, with preserving biodiversity and maintaining ecosystem services is a major societal challenge. Research into the contrasting strategies of land sparing and land sharing has suggested that land sparing—combining high-yield agriculture with the protection or restoration of natural habitats on nonfarmed land—will have lower environmental impacts than other strategies. Ecosystems with long histories of habitat disturbance, however, could be resilient to low-yield agriculture and thus fare better under land sharing. Using a wider suite of species (birds, dung beetles and trees) and a wider range of livestock-production systems than previous studies, we investigated the probable impacts of different land-use strategies on biodiversity and aboveground carbon stocks in the Yucatán Peninsula, Mexico—a region with a long history of habitat disturbance. By modelling the production of multiple products from interdependent land uses, we found that land sparing would allow larger estimated populations of most species and larger carbon stocks to persist than would land sharing or any intermediate strategy. This result held across all agricultural production targets despite the history of disturbance and despite species richness in low- and medium-yielding agriculture being not much lower than that in natural habitats. This highlights the importance, in evaluating the biodiversity impacts of land use, of measuring population densities of individual species, rather than simple species richness. The benefits of land sparing for both biodiversity and carbon storage suggest that safeguarding natural habitats for biodiversity protection and carbon storage alongside promoting areas of high-yield cattle production would be desirable. However, delivering such landscapes will probably require the explicit linkage of livestock yield increases with habitat protection or restoration, as well as a deeper understanding of the long-term sustainability of yields, and research into how other societal outcomes vary across land-use strategies.","author":[{"dropping-particle":"","family":"Williams","given":"David R.","non-dropping-particle":"","parse-names":false,"suffix":""},{"dropping-particle":"","family":"Alvarado","given":"Fredy","non-dropping-particle":"","parse-names":false,"suffix":""},{"dropping-particle":"","family":"Green","given":"Rhys E.","non-dropping-particle":"","parse-names":false,"suffix":""},{"dropping-particle":"","family":"Manica","given":"Andrea","non-dropping-particle":"","parse-names":false,"suffix":""},{"dropping-particle":"","family":"Phalan","given":"Ben","non-dropping-particle":"","parse-names":false,"suffix":""},{"dropping-particle":"","family":"Balmford","given":"Andrew","non-dropping-particle":"","parse-names":false,"suffix":""}],"container-title":"Global Change Biology","id":"ITEM-1","issue":"12","issued":{"date-parts":[["2017","12","1"]]},"page":"5260-5272","publisher":"Blackwell Publishing Ltd","title":"Land-use strategies to balance livestock production, biodiversity conservation and carbon storage in Yucatán, Mexico","type":"article-journal","volume":"23"},"uris":["http://www.mendeley.com/documents/?uuid=ceb9e4d6-2676-4457-9c59-6c2103031814"]}],"mendeley":{"formattedCitation":"(Williams et al., 2017)","plainTextFormattedCitation":"(Williams et al., 2017)","previouslyFormattedCitation":"(Williams et al., 2017)"},"properties":{"noteIndex":0},"schema":"https://github.com/citation-style-language/schema/raw/master/csl-citation.json"}</w:instrText>
      </w:r>
      <w:r>
        <w:fldChar w:fldCharType="separate"/>
      </w:r>
      <w:r w:rsidR="005F7577" w:rsidRPr="00B945C0">
        <w:rPr>
          <w:noProof/>
        </w:rPr>
        <w:t>(</w:t>
      </w:r>
      <w:r w:rsidR="005F7577" w:rsidRPr="002F2C00">
        <w:rPr>
          <w:noProof/>
          <w:highlight w:val="cyan"/>
        </w:rPr>
        <w:t>Williams et al., 2017)</w:t>
      </w:r>
      <w:r>
        <w:fldChar w:fldCharType="end"/>
      </w:r>
    </w:p>
    <w:p w14:paraId="11C03277" w14:textId="3017846E" w:rsidR="00B15E26" w:rsidRDefault="00B15E26">
      <w:pPr>
        <w:tabs>
          <w:tab w:val="clear" w:pos="454"/>
        </w:tabs>
        <w:autoSpaceDE/>
        <w:autoSpaceDN/>
        <w:adjustRightInd/>
        <w:spacing w:after="200" w:line="276" w:lineRule="auto"/>
        <w:ind w:firstLine="0"/>
        <w:jc w:val="left"/>
      </w:pPr>
      <w:r>
        <w:fldChar w:fldCharType="begin" w:fldLock="1"/>
      </w:r>
      <w:r w:rsidR="00B945C0">
        <w:instrText>ADDIN CSL_CITATION {"citationItems":[{"id":"ITEM-1","itemData":{"DOI":"10.22134/trace.v0i69.10","ISSN":"0185-6286","abstract":"La política eólica mexicana es impulsada por organismos de desarrollo internacionales que indujeron a los poderes públicos la adopción de una serie de mecanismos técnicos y financieros para la integración de las energías renovables al sistema eléctrico nacional. En este artículo se analiza el diseño de la política eólica mexicana y los conflictos relacionados con su implantación territorial. Para lograrlo nos basaremos en el análisis de caso de dos regiones del país: el sur del Istmo de Tehuantepec —una de las regiones más ventosas del mundo— y la Península de Yucatán. Ambos casos muestran los vacíos de una política eólica demasiado sectorial, tecnocéntrica y sin políticas como la ambiental que genera situaciones de confrontación con las poblaciones locales.","author":[{"dropping-particle":"","family":"Zárate Toledo","given":"Ezequiel","non-dropping-particle":"","parse-names":false,"suffix":""},{"dropping-particle":"","family":"Fraga","given":"Julia","non-dropping-particle":"","parse-names":false,"suffix":""}],"container-title":"Revista Trace 69","id":"ITEM-1","issued":{"date-parts":[["2016"]]},"page":"65-95","title":"La política eólica mexicana: Controversias sociales y ambientales debido a su implantación territorial. Estudios de caso en Oaxaca y Yucatán.","type":"article-journal"},"uris":["http://www.mendeley.com/documents/?uuid=575e91c9-79c9-43d6-95e5-50d141132def"]}],"mendeley":{"formattedCitation":"(Zárate Toledo &amp; Fraga, 2016)","plainTextFormattedCitation":"(Zárate Toledo &amp; Fraga, 2016)","previouslyFormattedCitation":"(Zárate Toledo &amp; Fraga, 2016)"},"properties":{"noteIndex":0},"schema":"https://github.com/citation-style-language/schema/raw/master/csl-citation.json"}</w:instrText>
      </w:r>
      <w:r>
        <w:fldChar w:fldCharType="separate"/>
      </w:r>
      <w:r w:rsidR="00B945C0" w:rsidRPr="00B945C0">
        <w:rPr>
          <w:noProof/>
        </w:rPr>
        <w:t>(</w:t>
      </w:r>
      <w:r w:rsidR="00B945C0" w:rsidRPr="00500273">
        <w:rPr>
          <w:noProof/>
          <w:highlight w:val="cyan"/>
        </w:rPr>
        <w:t>Zárate Toledo &amp; Fraga, 2016</w:t>
      </w:r>
      <w:r w:rsidR="00B945C0" w:rsidRPr="00B945C0">
        <w:rPr>
          <w:noProof/>
        </w:rPr>
        <w:t>)</w:t>
      </w:r>
      <w:r>
        <w:fldChar w:fldCharType="end"/>
      </w:r>
    </w:p>
    <w:p w14:paraId="114040BD" w14:textId="77777777" w:rsidR="00821639" w:rsidRDefault="00821639">
      <w:pPr>
        <w:tabs>
          <w:tab w:val="clear" w:pos="454"/>
        </w:tabs>
        <w:autoSpaceDE/>
        <w:autoSpaceDN/>
        <w:adjustRightInd/>
        <w:spacing w:after="200" w:line="276" w:lineRule="auto"/>
        <w:ind w:firstLine="0"/>
        <w:jc w:val="left"/>
      </w:pPr>
    </w:p>
    <w:p w14:paraId="3D39584B" w14:textId="25638826" w:rsidR="00F24690" w:rsidRDefault="00F24690" w:rsidP="00E47D25">
      <w:pPr>
        <w:pStyle w:val="Ttulo1"/>
      </w:pPr>
      <w:bookmarkStart w:id="2" w:name="_Toc57118301"/>
      <w:bookmarkEnd w:id="0"/>
      <w:bookmarkEnd w:id="1"/>
      <w:r w:rsidRPr="00E47D25">
        <w:lastRenderedPageBreak/>
        <w:t>Referencias</w:t>
      </w:r>
      <w:bookmarkEnd w:id="2"/>
    </w:p>
    <w:p w14:paraId="766ADD16" w14:textId="7CB09989" w:rsidR="00194FB8" w:rsidRDefault="00194FB8" w:rsidP="00194FB8"/>
    <w:p w14:paraId="41098329" w14:textId="7D99C831" w:rsidR="00494C0C" w:rsidRPr="008C40D1" w:rsidRDefault="00194FB8" w:rsidP="008C40D1">
      <w:pPr>
        <w:pStyle w:val="Prrafodelista"/>
        <w:widowControl w:val="0"/>
        <w:numPr>
          <w:ilvl w:val="3"/>
          <w:numId w:val="24"/>
        </w:numPr>
        <w:ind w:left="426"/>
        <w:rPr>
          <w:rFonts w:cs="Calibri Light"/>
          <w:noProof/>
          <w:szCs w:val="24"/>
        </w:rPr>
      </w:pPr>
      <w:r w:rsidRPr="00614923">
        <w:fldChar w:fldCharType="begin" w:fldLock="1"/>
      </w:r>
      <w:r w:rsidRPr="00614923">
        <w:instrText xml:space="preserve">ADDIN Mendeley Bibliography CSL_BIBLIOGRAPHY </w:instrText>
      </w:r>
      <w:r w:rsidRPr="00614923">
        <w:fldChar w:fldCharType="separate"/>
      </w:r>
      <w:r w:rsidR="00494C0C" w:rsidRPr="008C40D1">
        <w:rPr>
          <w:rFonts w:cs="Calibri Light"/>
          <w:noProof/>
          <w:szCs w:val="24"/>
        </w:rPr>
        <w:t xml:space="preserve">Actual Yucatán, N. (2019, February 23). Explotación de bancos de piedra daña el ambiente de 6 municipios. </w:t>
      </w:r>
      <w:r w:rsidR="00494C0C" w:rsidRPr="008C40D1">
        <w:rPr>
          <w:rFonts w:cs="Calibri Light"/>
          <w:i/>
          <w:iCs/>
          <w:noProof/>
          <w:szCs w:val="24"/>
        </w:rPr>
        <w:t>Actual Yucatán</w:t>
      </w:r>
      <w:r w:rsidR="00494C0C" w:rsidRPr="008C40D1">
        <w:rPr>
          <w:rFonts w:cs="Calibri Light"/>
          <w:noProof/>
          <w:szCs w:val="24"/>
        </w:rPr>
        <w:t>, 1. https://actualyucatan.blogspot.com/2019/02/yucatan-explotacion-de-bancos-de-piedra-dana-medio-ambiente-6-municipios.html</w:t>
      </w:r>
    </w:p>
    <w:p w14:paraId="24F987A6"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Aguilar-Sánchez, P., Navarro-Pineda, F. S., Sacramento-Rivero, J. C., &amp; Barahona-Pérez, L. F. (2018). Life-cycle assessment of bioethanol production from sweet sorghum stalks cultivated in the state of Yucatan, Mexico. </w:t>
      </w:r>
      <w:r w:rsidRPr="008C40D1">
        <w:rPr>
          <w:rFonts w:cs="Calibri Light"/>
          <w:i/>
          <w:iCs/>
          <w:noProof/>
          <w:szCs w:val="24"/>
        </w:rPr>
        <w:t>Clean Technologies and Environmental Policy</w:t>
      </w:r>
      <w:r w:rsidRPr="008C40D1">
        <w:rPr>
          <w:rFonts w:cs="Calibri Light"/>
          <w:noProof/>
          <w:szCs w:val="24"/>
        </w:rPr>
        <w:t xml:space="preserve">, </w:t>
      </w:r>
      <w:r w:rsidRPr="008C40D1">
        <w:rPr>
          <w:rFonts w:cs="Calibri Light"/>
          <w:i/>
          <w:iCs/>
          <w:noProof/>
          <w:szCs w:val="24"/>
        </w:rPr>
        <w:t>20</w:t>
      </w:r>
      <w:r w:rsidRPr="008C40D1">
        <w:rPr>
          <w:rFonts w:cs="Calibri Light"/>
          <w:noProof/>
          <w:szCs w:val="24"/>
        </w:rPr>
        <w:t>(7), 1685–1696. https://doi.org/10.1007/s10098-017-1480-4</w:t>
      </w:r>
    </w:p>
    <w:p w14:paraId="13D5B74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Aristegui Noticias. (2019). </w:t>
      </w:r>
      <w:r w:rsidRPr="008C40D1">
        <w:rPr>
          <w:rFonts w:cs="Calibri Light"/>
          <w:i/>
          <w:iCs/>
          <w:noProof/>
          <w:szCs w:val="24"/>
        </w:rPr>
        <w:t>Cementeras no reparan daños ambientales en Yucatán": Secretaría de Desarrollo Sustentable</w:t>
      </w:r>
      <w:r w:rsidRPr="008C40D1">
        <w:rPr>
          <w:rFonts w:cs="Calibri Light"/>
          <w:noProof/>
          <w:szCs w:val="24"/>
        </w:rPr>
        <w:t>. Aristegui Noticias. https://aristeguinoticias.com/0409/mexico/cementeras-no-reparan-danos-ambientales-en-yucatan-secretaria-de-desarrollo-sustentableCementeras no reparan daños ambientales en Yucatán%22: Secretaría de Desarrollo Sustentable</w:t>
      </w:r>
    </w:p>
    <w:p w14:paraId="08E5260B"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Articulación Yucatán, N., &amp; GeoComunes. (2019). </w:t>
      </w:r>
      <w:r w:rsidRPr="008C40D1">
        <w:rPr>
          <w:rFonts w:cs="Calibri Light"/>
          <w:i/>
          <w:iCs/>
          <w:noProof/>
          <w:szCs w:val="24"/>
        </w:rPr>
        <w:t>Expansión de proyectos de energía renovable de gran escala en la península de Yucatán</w:t>
      </w:r>
      <w:r w:rsidRPr="008C40D1">
        <w:rPr>
          <w:rFonts w:cs="Calibri Light"/>
          <w:noProof/>
          <w:szCs w:val="24"/>
        </w:rPr>
        <w:t>. http://geocomunes.org/Analisis_PDF/EnergiaRenovableYucatan.pdf</w:t>
      </w:r>
    </w:p>
    <w:p w14:paraId="12B807D0"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Ayala Arcipreste, M. E. (2001). </w:t>
      </w:r>
      <w:r w:rsidRPr="008C40D1">
        <w:rPr>
          <w:rFonts w:cs="Calibri Light"/>
          <w:i/>
          <w:iCs/>
          <w:noProof/>
          <w:szCs w:val="24"/>
        </w:rPr>
        <w:t>La apicultura de la península de Yucatán: Un acercamiento desde la ecología humana.</w:t>
      </w:r>
      <w:r w:rsidRPr="008C40D1">
        <w:rPr>
          <w:rFonts w:cs="Calibri Light"/>
          <w:noProof/>
          <w:szCs w:val="24"/>
        </w:rPr>
        <w:t xml:space="preserve"> [Centro de Investigación y de Estudios Avanzados del Instituto Politécnico Nacional]. https://www.mda.cinvestav.mx/FTP/EcologiaHumana/maestria/tesis/01TesisAyalaME01.pdf</w:t>
      </w:r>
    </w:p>
    <w:p w14:paraId="391081A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Barba Macías Everardo; López Santillán, Ángeles; Ceceña Martonella, Ana Esther; Córdova Canelas, Fernando; Díaz Perera, Miguel Ángel; Dupuy Rada, J. M., Díaz Espadas, Manrique Celene, Esparza Olguín Ligia Guadalupe, García Quintanilla Alejandra, Gasparel, López Martínez Rafael, L., Patricia, S. A., Richard Carlos, M., &amp; Guardado Gustavo, M. (2019). </w:t>
      </w:r>
      <w:r w:rsidRPr="008C40D1">
        <w:rPr>
          <w:rFonts w:cs="Calibri Light"/>
          <w:i/>
          <w:iCs/>
          <w:noProof/>
          <w:szCs w:val="24"/>
        </w:rPr>
        <w:t>Territorios mayas en el paso del tren: situación actual y riesgos previsibles</w:t>
      </w:r>
      <w:r w:rsidRPr="008C40D1">
        <w:rPr>
          <w:rFonts w:cs="Calibri Light"/>
          <w:noProof/>
          <w:szCs w:val="24"/>
        </w:rPr>
        <w:t>. http://geopolitica.iiec.unam.mx/node/702</w:t>
      </w:r>
    </w:p>
    <w:p w14:paraId="494A4A91"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Batllori, S. E. (2016). Condiciones actuales del agua subterránea, en la Península de Yucatán. </w:t>
      </w:r>
      <w:r w:rsidRPr="008C40D1">
        <w:rPr>
          <w:rFonts w:cs="Calibri Light"/>
          <w:i/>
          <w:iCs/>
          <w:noProof/>
          <w:szCs w:val="24"/>
        </w:rPr>
        <w:t>Secretaría de Desarrollo Urbano y Medio Ambiente, Gobierno Del Estado de Yucatán</w:t>
      </w:r>
      <w:r w:rsidRPr="008C40D1">
        <w:rPr>
          <w:rFonts w:cs="Calibri Light"/>
          <w:noProof/>
          <w:szCs w:val="24"/>
        </w:rPr>
        <w:t xml:space="preserve">, </w:t>
      </w:r>
      <w:r w:rsidRPr="008C40D1">
        <w:rPr>
          <w:rFonts w:cs="Calibri Light"/>
          <w:i/>
          <w:iCs/>
          <w:noProof/>
          <w:szCs w:val="24"/>
        </w:rPr>
        <w:t>Capítulo 7</w:t>
      </w:r>
      <w:r w:rsidRPr="008C40D1">
        <w:rPr>
          <w:rFonts w:cs="Calibri Light"/>
          <w:noProof/>
          <w:szCs w:val="24"/>
        </w:rPr>
        <w:t>, 201–261.</w:t>
      </w:r>
    </w:p>
    <w:p w14:paraId="421B7C4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Batllori, S. E. (2019). </w:t>
      </w:r>
      <w:r w:rsidRPr="008C40D1">
        <w:rPr>
          <w:rFonts w:cs="Calibri Light"/>
          <w:i/>
          <w:iCs/>
          <w:noProof/>
          <w:szCs w:val="24"/>
        </w:rPr>
        <w:t>La zona geohidrológica del anillo de cenotes y región metropolitana del estado de Yucatán. Fomento de servicios ambientales</w:t>
      </w:r>
      <w:r w:rsidRPr="008C40D1">
        <w:rPr>
          <w:rFonts w:cs="Calibri Light"/>
          <w:noProof/>
          <w:szCs w:val="24"/>
        </w:rPr>
        <w:t>.</w:t>
      </w:r>
    </w:p>
    <w:p w14:paraId="337BCDAB"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Batllori, S. E., González Piedra, J. I., Díaz Sosa, J., &amp; Febles Patrón, J. L. (2006). Caracterización hidrológica de la región costera noroccidental del estado de Yucatán, México. </w:t>
      </w:r>
      <w:r w:rsidRPr="008C40D1">
        <w:rPr>
          <w:rFonts w:cs="Calibri Light"/>
          <w:i/>
          <w:iCs/>
          <w:noProof/>
          <w:szCs w:val="24"/>
        </w:rPr>
        <w:t>Investigaciones Geográficas</w:t>
      </w:r>
      <w:r w:rsidRPr="008C40D1">
        <w:rPr>
          <w:rFonts w:cs="Calibri Light"/>
          <w:noProof/>
          <w:szCs w:val="24"/>
        </w:rPr>
        <w:t xml:space="preserve">, </w:t>
      </w:r>
      <w:r w:rsidRPr="008C40D1">
        <w:rPr>
          <w:rFonts w:cs="Calibri Light"/>
          <w:i/>
          <w:iCs/>
          <w:noProof/>
          <w:szCs w:val="24"/>
        </w:rPr>
        <w:t>59</w:t>
      </w:r>
      <w:r w:rsidRPr="008C40D1">
        <w:rPr>
          <w:rFonts w:cs="Calibri Light"/>
          <w:noProof/>
          <w:szCs w:val="24"/>
        </w:rPr>
        <w:t>, 74–92.</w:t>
      </w:r>
    </w:p>
    <w:p w14:paraId="2F8DE81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Bolio Osés, J. (2014). Mérida metropolitana. Evolución histórica y rasgos actuales —una perspectiva urbana—. In R. López-Santillán &amp; L. A. Ramírez Carrillo (Eds.), </w:t>
      </w:r>
      <w:r w:rsidRPr="008C40D1">
        <w:rPr>
          <w:rFonts w:cs="Calibri Light"/>
          <w:i/>
          <w:iCs/>
          <w:noProof/>
          <w:szCs w:val="24"/>
        </w:rPr>
        <w:t>Crecimiento urbano y cambio social: escenarios de transformación de la zona metropolitana de Mérida</w:t>
      </w:r>
      <w:r w:rsidRPr="008C40D1">
        <w:rPr>
          <w:rFonts w:cs="Calibri Light"/>
          <w:noProof/>
          <w:szCs w:val="24"/>
        </w:rPr>
        <w:t xml:space="preserve"> (pp. 21–60). UNAM.</w:t>
      </w:r>
    </w:p>
    <w:p w14:paraId="164FF3E1"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Cepeda, C., &amp; Amoroso, A. (2016). </w:t>
      </w:r>
      <w:r w:rsidRPr="008C40D1">
        <w:rPr>
          <w:rFonts w:cs="Calibri Light"/>
          <w:i/>
          <w:iCs/>
          <w:noProof/>
          <w:szCs w:val="24"/>
        </w:rPr>
        <w:t>Experiencias de Desarrollo Rural Sustentable y Conservación en la Península de Yucatán</w:t>
      </w:r>
      <w:r w:rsidRPr="008C40D1">
        <w:rPr>
          <w:rFonts w:cs="Calibri Light"/>
          <w:noProof/>
          <w:szCs w:val="24"/>
        </w:rPr>
        <w:t xml:space="preserve"> (T. N. Conservancy (ed.); 1st ed.). The Nature Conservancy. https://doi.org/10.1192/bjp.111.479.1009-a</w:t>
      </w:r>
    </w:p>
    <w:p w14:paraId="144BBD02"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Ch´iibal Mayao´ob, A. C. (2011). </w:t>
      </w:r>
      <w:r w:rsidRPr="008C40D1">
        <w:rPr>
          <w:rFonts w:cs="Calibri Light"/>
          <w:i/>
          <w:iCs/>
          <w:noProof/>
          <w:szCs w:val="24"/>
        </w:rPr>
        <w:t>Estudio regional forestal. Municipios Cenotillo, Chankóm, Huhi, Dzitás, Q. Roo, Hocabá, Hoctún, Izamal, Kantunil, Sanahcat, Sotuta, Sudzal, Tekal de Venegas, Tunkás, Xocchel, Yaxcabá</w:t>
      </w:r>
      <w:r w:rsidRPr="008C40D1">
        <w:rPr>
          <w:rFonts w:cs="Calibri Light"/>
          <w:noProof/>
          <w:szCs w:val="24"/>
        </w:rPr>
        <w:t>.</w:t>
      </w:r>
    </w:p>
    <w:p w14:paraId="389EA708"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Chan, M. (2019, November 16). Apicultura para cuidar la selva y sostener a las familias mayas. </w:t>
      </w:r>
      <w:r w:rsidRPr="008C40D1">
        <w:rPr>
          <w:rFonts w:cs="Calibri Light"/>
          <w:i/>
          <w:iCs/>
          <w:noProof/>
          <w:szCs w:val="24"/>
        </w:rPr>
        <w:t>La Jornada Del Campo</w:t>
      </w:r>
      <w:r w:rsidRPr="008C40D1">
        <w:rPr>
          <w:rFonts w:cs="Calibri Light"/>
          <w:noProof/>
          <w:szCs w:val="24"/>
        </w:rPr>
        <w:t>, 1. https://www.jornada.com.mx/2019/11/16/delcampo/articulos/apicultura-cuidar-selva.html</w:t>
      </w:r>
    </w:p>
    <w:p w14:paraId="397AA550"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lastRenderedPageBreak/>
        <w:t xml:space="preserve">Consejo Civil Mexicano para la Silvicultura Sostenible, C. C. M. S. S. (2020). </w:t>
      </w:r>
      <w:r w:rsidRPr="008C40D1">
        <w:rPr>
          <w:rFonts w:cs="Calibri Light"/>
          <w:i/>
          <w:iCs/>
          <w:noProof/>
          <w:szCs w:val="24"/>
        </w:rPr>
        <w:t>Las políticas de arriba hacia abajo, otro golpe para la apicultura en la Península de Yucatán</w:t>
      </w:r>
      <w:r w:rsidRPr="008C40D1">
        <w:rPr>
          <w:rFonts w:cs="Calibri Light"/>
          <w:noProof/>
          <w:szCs w:val="24"/>
        </w:rPr>
        <w:t>. https://www.ccmss.org.mx/las-politicas-de-arriba-hacia-abajo-otro-golpe-para-la-apicultura-en-la-peninsula-de-yucatan/</w:t>
      </w:r>
    </w:p>
    <w:p w14:paraId="3124CBE0"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Corona Romero, N., Núñez Hernández, J., Mohar Ponce, A., &amp; Ocampo Thomason, P. (2015). </w:t>
      </w:r>
      <w:r w:rsidRPr="008C40D1">
        <w:rPr>
          <w:rFonts w:cs="Calibri Light"/>
          <w:i/>
          <w:iCs/>
          <w:noProof/>
          <w:szCs w:val="24"/>
        </w:rPr>
        <w:t>Hacia una estrategia de políticas públicas para el territorio costero del estado de Yucatán que atienda las presiones de urbanización e infraestructura sobre zonas críticas, desde una aperspectiva ambiental y de vulnerabilidad</w:t>
      </w:r>
      <w:r w:rsidRPr="008C40D1">
        <w:rPr>
          <w:rFonts w:cs="Calibri Light"/>
          <w:noProof/>
          <w:szCs w:val="24"/>
        </w:rPr>
        <w:t xml:space="preserve"> (No. 03-2015-121715240300–01).</w:t>
      </w:r>
    </w:p>
    <w:p w14:paraId="1037F87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Cruz Zamudio, A. (2017). </w:t>
      </w:r>
      <w:r w:rsidRPr="008C40D1">
        <w:rPr>
          <w:rFonts w:cs="Calibri Light"/>
          <w:i/>
          <w:iCs/>
          <w:noProof/>
          <w:szCs w:val="24"/>
        </w:rPr>
        <w:t>Producción  de  miel  convencional  y  orgánica  en  la  Península  de  Yucatán</w:t>
      </w:r>
      <w:r w:rsidRPr="008C40D1">
        <w:rPr>
          <w:rFonts w:cs="Calibri Light"/>
          <w:noProof/>
          <w:szCs w:val="24"/>
        </w:rPr>
        <w:t>. El Colegio de la Frontera Sur y Université de Sherbrooke.</w:t>
      </w:r>
    </w:p>
    <w:p w14:paraId="4E433602"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Cuevas Jiménez, A., Euán Ávila, J. I., Villatoro Lacouture, M. M., &amp; Silva Casarín, R. (2016). Classification of Beach Erosion Vulnerability on the Yucatan Coast. </w:t>
      </w:r>
      <w:r w:rsidRPr="008C40D1">
        <w:rPr>
          <w:rFonts w:cs="Calibri Light"/>
          <w:i/>
          <w:iCs/>
          <w:noProof/>
          <w:szCs w:val="24"/>
        </w:rPr>
        <w:t>Coastal Management</w:t>
      </w:r>
      <w:r w:rsidRPr="008C40D1">
        <w:rPr>
          <w:rFonts w:cs="Calibri Light"/>
          <w:noProof/>
          <w:szCs w:val="24"/>
        </w:rPr>
        <w:t xml:space="preserve">, </w:t>
      </w:r>
      <w:r w:rsidRPr="008C40D1">
        <w:rPr>
          <w:rFonts w:cs="Calibri Light"/>
          <w:i/>
          <w:iCs/>
          <w:noProof/>
          <w:szCs w:val="24"/>
        </w:rPr>
        <w:t>44</w:t>
      </w:r>
      <w:r w:rsidRPr="008C40D1">
        <w:rPr>
          <w:rFonts w:cs="Calibri Light"/>
          <w:noProof/>
          <w:szCs w:val="24"/>
        </w:rPr>
        <w:t>(4), 333–349. https://doi.org/10.1080/08920753.2016.1155038</w:t>
      </w:r>
    </w:p>
    <w:p w14:paraId="037BC997"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Diario de Yucatán. (2019, September 17). Canteras sin control. </w:t>
      </w:r>
      <w:r w:rsidRPr="008C40D1">
        <w:rPr>
          <w:rFonts w:cs="Calibri Light"/>
          <w:i/>
          <w:iCs/>
          <w:noProof/>
          <w:szCs w:val="24"/>
        </w:rPr>
        <w:t>Diario de Yucatán</w:t>
      </w:r>
      <w:r w:rsidRPr="008C40D1">
        <w:rPr>
          <w:rFonts w:cs="Calibri Light"/>
          <w:noProof/>
          <w:szCs w:val="24"/>
        </w:rPr>
        <w:t>. https://www.yucatan.com.mx/merida/canteras-sin-control</w:t>
      </w:r>
    </w:p>
    <w:p w14:paraId="3EF157AF"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Drucker, A., Escalante, R., Gómez, V., &amp; Magaña, S. (2003). La industria porcina en Yucatán: un análisis de la generación de aguas residuales. </w:t>
      </w:r>
      <w:r w:rsidRPr="008C40D1">
        <w:rPr>
          <w:rFonts w:cs="Calibri Light"/>
          <w:i/>
          <w:iCs/>
          <w:noProof/>
          <w:szCs w:val="24"/>
        </w:rPr>
        <w:t>Problemas Del Desarrollo. Revista Latinoamericana de Economía, UNAM</w:t>
      </w:r>
      <w:r w:rsidRPr="008C40D1">
        <w:rPr>
          <w:rFonts w:cs="Calibri Light"/>
          <w:noProof/>
          <w:szCs w:val="24"/>
        </w:rPr>
        <w:t xml:space="preserve">, </w:t>
      </w:r>
      <w:r w:rsidRPr="008C40D1">
        <w:rPr>
          <w:rFonts w:cs="Calibri Light"/>
          <w:i/>
          <w:iCs/>
          <w:noProof/>
          <w:szCs w:val="24"/>
        </w:rPr>
        <w:t>34</w:t>
      </w:r>
      <w:r w:rsidRPr="008C40D1">
        <w:rPr>
          <w:rFonts w:cs="Calibri Light"/>
          <w:noProof/>
          <w:szCs w:val="24"/>
        </w:rPr>
        <w:t>(135).</w:t>
      </w:r>
    </w:p>
    <w:p w14:paraId="4BBDA665"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Echánove Huacuja, F. (2019). Productive reconversion in Yucatan, Mexico: from maize and pastures to soybeans. </w:t>
      </w:r>
      <w:r w:rsidRPr="008C40D1">
        <w:rPr>
          <w:rFonts w:cs="Calibri Light"/>
          <w:i/>
          <w:iCs/>
          <w:noProof/>
          <w:szCs w:val="24"/>
        </w:rPr>
        <w:t>Papeles de Geografía</w:t>
      </w:r>
      <w:r w:rsidRPr="008C40D1">
        <w:rPr>
          <w:rFonts w:cs="Calibri Light"/>
          <w:noProof/>
          <w:szCs w:val="24"/>
        </w:rPr>
        <w:t xml:space="preserve">, </w:t>
      </w:r>
      <w:r w:rsidRPr="008C40D1">
        <w:rPr>
          <w:rFonts w:cs="Calibri Light"/>
          <w:i/>
          <w:iCs/>
          <w:noProof/>
          <w:szCs w:val="24"/>
        </w:rPr>
        <w:t>64</w:t>
      </w:r>
      <w:r w:rsidRPr="008C40D1">
        <w:rPr>
          <w:rFonts w:cs="Calibri Light"/>
          <w:noProof/>
          <w:szCs w:val="24"/>
        </w:rPr>
        <w:t>, 181–197. https://doi.org/10.6018/geografia/2018/340111</w:t>
      </w:r>
    </w:p>
    <w:p w14:paraId="45A5580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El Mekaoui, A. (2018). El sector energético retos y problemas sociales: caso de los megaproyectos en las comunidades del Estado de Yucatán, México. </w:t>
      </w:r>
      <w:r w:rsidRPr="008C40D1">
        <w:rPr>
          <w:rFonts w:cs="Calibri Light"/>
          <w:i/>
          <w:iCs/>
          <w:noProof/>
          <w:szCs w:val="24"/>
        </w:rPr>
        <w:t>Ingeniería</w:t>
      </w:r>
      <w:r w:rsidRPr="008C40D1">
        <w:rPr>
          <w:rFonts w:cs="Calibri Light"/>
          <w:noProof/>
          <w:szCs w:val="24"/>
        </w:rPr>
        <w:t xml:space="preserve">, </w:t>
      </w:r>
      <w:r w:rsidRPr="008C40D1">
        <w:rPr>
          <w:rFonts w:cs="Calibri Light"/>
          <w:i/>
          <w:iCs/>
          <w:noProof/>
          <w:szCs w:val="24"/>
        </w:rPr>
        <w:t>22</w:t>
      </w:r>
      <w:r w:rsidRPr="008C40D1">
        <w:rPr>
          <w:rFonts w:cs="Calibri Light"/>
          <w:noProof/>
          <w:szCs w:val="24"/>
        </w:rPr>
        <w:t>(1), 64–75.</w:t>
      </w:r>
    </w:p>
    <w:p w14:paraId="732E7DCC"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Ellis, E. A., Hernández-Gómez, I. U., &amp; Romero-Montero, J. A. (2017). Los procesos y causas del cambio en la cobertura forestal de la Península Yucatán, México. </w:t>
      </w:r>
      <w:r w:rsidRPr="008C40D1">
        <w:rPr>
          <w:rFonts w:cs="Calibri Light"/>
          <w:i/>
          <w:iCs/>
          <w:noProof/>
          <w:szCs w:val="24"/>
        </w:rPr>
        <w:t>Ecosistemas</w:t>
      </w:r>
      <w:r w:rsidRPr="008C40D1">
        <w:rPr>
          <w:rFonts w:cs="Calibri Light"/>
          <w:noProof/>
          <w:szCs w:val="24"/>
        </w:rPr>
        <w:t xml:space="preserve">, </w:t>
      </w:r>
      <w:r w:rsidRPr="008C40D1">
        <w:rPr>
          <w:rFonts w:cs="Calibri Light"/>
          <w:i/>
          <w:iCs/>
          <w:noProof/>
          <w:szCs w:val="24"/>
        </w:rPr>
        <w:t>26</w:t>
      </w:r>
      <w:r w:rsidRPr="008C40D1">
        <w:rPr>
          <w:rFonts w:cs="Calibri Light"/>
          <w:noProof/>
          <w:szCs w:val="24"/>
        </w:rPr>
        <w:t>(1), 101–111. https://doi.org/10.7818/ECOS.2017.26-1.16</w:t>
      </w:r>
    </w:p>
    <w:p w14:paraId="599CEDF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Ellis, E. A., Romero Montero, J. A., &amp; Hernández Gómez, I. U. (2015). </w:t>
      </w:r>
      <w:r w:rsidRPr="008C40D1">
        <w:rPr>
          <w:rFonts w:cs="Calibri Light"/>
          <w:i/>
          <w:iCs/>
          <w:noProof/>
          <w:szCs w:val="24"/>
        </w:rPr>
        <w:t>Evaluación y mapeo de los determinantes de la deforestación en la Península Yucatán Monitoreo Reporte y Verificación</w:t>
      </w:r>
      <w:r w:rsidRPr="008C40D1">
        <w:rPr>
          <w:rFonts w:cs="Calibri Light"/>
          <w:noProof/>
          <w:szCs w:val="24"/>
        </w:rPr>
        <w:t>. www.alianza-mredd.org</w:t>
      </w:r>
    </w:p>
    <w:p w14:paraId="7B5D2E0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FAO-SEDER-Gobierno de Yucatán. (2016). </w:t>
      </w:r>
      <w:r w:rsidRPr="008C40D1">
        <w:rPr>
          <w:rFonts w:cs="Calibri Light"/>
          <w:i/>
          <w:iCs/>
          <w:noProof/>
          <w:szCs w:val="24"/>
        </w:rPr>
        <w:t>Diagnóstico de los Sectores de la Pesca y la Acuacultura en el Estado de Yucatán</w:t>
      </w:r>
      <w:r w:rsidRPr="008C40D1">
        <w:rPr>
          <w:rFonts w:cs="Calibri Light"/>
          <w:noProof/>
          <w:szCs w:val="24"/>
        </w:rPr>
        <w:t xml:space="preserve"> (pp. 1–138). https://doi.org/10.1192/bjp.112.483.211-a</w:t>
      </w:r>
    </w:p>
    <w:p w14:paraId="6B27A482"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García de Fuentes, A., Jouault, S., &amp; Romero, D. (2019). A cartographic representation of the touristification of Cancún and the Yucatan peninsula in the last 50 years. </w:t>
      </w:r>
      <w:r w:rsidRPr="008C40D1">
        <w:rPr>
          <w:rFonts w:cs="Calibri Light"/>
          <w:i/>
          <w:iCs/>
          <w:noProof/>
          <w:szCs w:val="24"/>
        </w:rPr>
        <w:t>Investigaciones Geográficas</w:t>
      </w:r>
      <w:r w:rsidRPr="008C40D1">
        <w:rPr>
          <w:rFonts w:cs="Calibri Light"/>
          <w:noProof/>
          <w:szCs w:val="24"/>
        </w:rPr>
        <w:t xml:space="preserve">, </w:t>
      </w:r>
      <w:r w:rsidRPr="008C40D1">
        <w:rPr>
          <w:rFonts w:cs="Calibri Light"/>
          <w:i/>
          <w:iCs/>
          <w:noProof/>
          <w:szCs w:val="24"/>
        </w:rPr>
        <w:t>100</w:t>
      </w:r>
      <w:r w:rsidRPr="008C40D1">
        <w:rPr>
          <w:rFonts w:cs="Calibri Light"/>
          <w:noProof/>
          <w:szCs w:val="24"/>
        </w:rPr>
        <w:t>. https://doi.org/10.14350/rig.60023</w:t>
      </w:r>
    </w:p>
    <w:p w14:paraId="6ADF0ED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García de Fuentes, A., Xool, K. M., Euán, Á. J. I., Munguía, G. A., &amp; Cervera, M. M. D. (2011). La costa de Yucatán en la perspectiva del desarrollo turístico. In C. N. para el C. y U. de la Biodiversidad (Ed.), </w:t>
      </w:r>
      <w:r w:rsidRPr="008C40D1">
        <w:rPr>
          <w:rFonts w:cs="Calibri Light"/>
          <w:i/>
          <w:iCs/>
          <w:noProof/>
          <w:szCs w:val="24"/>
        </w:rPr>
        <w:t>PASOS, Revista de Turismo y Patrimonio Cultural</w:t>
      </w:r>
      <w:r w:rsidRPr="008C40D1">
        <w:rPr>
          <w:rFonts w:cs="Calibri Light"/>
          <w:noProof/>
          <w:szCs w:val="24"/>
        </w:rPr>
        <w:t xml:space="preserve"> (9th ed.). CONABIO. https://www.biodiversidad.gob.mx/corredor/cbmm/DOC/costa_yucatan_desarrollo_turistico.pdf</w:t>
      </w:r>
    </w:p>
    <w:p w14:paraId="0A48C1BF" w14:textId="3C0C4F3D"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Gobierno del Estado de Yucatán  </w:t>
      </w:r>
      <w:r w:rsidR="004152C4" w:rsidRPr="008C40D1">
        <w:rPr>
          <w:rFonts w:cs="Calibri Light"/>
          <w:noProof/>
          <w:szCs w:val="24"/>
        </w:rPr>
        <w:t>2013.</w:t>
      </w:r>
      <w:r w:rsidRPr="008C40D1">
        <w:rPr>
          <w:rFonts w:cs="Calibri Light"/>
          <w:noProof/>
          <w:szCs w:val="24"/>
        </w:rPr>
        <w:t xml:space="preserve">. </w:t>
      </w:r>
      <w:r w:rsidRPr="008C40D1">
        <w:rPr>
          <w:rFonts w:cs="Calibri Light"/>
          <w:i/>
          <w:iCs/>
          <w:noProof/>
          <w:szCs w:val="24"/>
        </w:rPr>
        <w:t>Programa estatal de desarrollo urbano de Yucatán</w:t>
      </w:r>
      <w:r w:rsidRPr="008C40D1">
        <w:rPr>
          <w:rFonts w:cs="Calibri Light"/>
          <w:noProof/>
          <w:szCs w:val="24"/>
        </w:rPr>
        <w:t>. Retrieved September 8, 2020, from https://acervo.yucatan.gob.mx/contenidos/PEDUYucatan.pdf</w:t>
      </w:r>
    </w:p>
    <w:p w14:paraId="243D7110"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Gómez Cano, J. C., Palma Ruíz, J. M., &amp; Valles Baca, H. G. (2019). Panorama del sector apícola en México:  Análisis estadístico de tendencias para el periodo de 2006 a 2016. In </w:t>
      </w:r>
      <w:r w:rsidRPr="008C40D1">
        <w:rPr>
          <w:rFonts w:cs="Calibri Light"/>
          <w:i/>
          <w:iCs/>
          <w:noProof/>
          <w:szCs w:val="24"/>
        </w:rPr>
        <w:t>Los Retos de la Competitividad ante la Industria 4.0</w:t>
      </w:r>
      <w:r w:rsidRPr="008C40D1">
        <w:rPr>
          <w:rFonts w:cs="Calibri Light"/>
          <w:noProof/>
          <w:szCs w:val="24"/>
        </w:rPr>
        <w:t xml:space="preserve"> (pp. 245–265). Red Internacional de Investigadores en Competitividad Universidad de Guadalajara.</w:t>
      </w:r>
    </w:p>
    <w:p w14:paraId="642740E3"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Gómez González, I. (2017). El uso de los plaguicidas altamente peligrosos en Yucatán. In F. Bejarano González (Ed.), </w:t>
      </w:r>
      <w:r w:rsidRPr="008C40D1">
        <w:rPr>
          <w:rFonts w:cs="Calibri Light"/>
          <w:i/>
          <w:iCs/>
          <w:noProof/>
          <w:szCs w:val="24"/>
        </w:rPr>
        <w:t>Los Plaguidas Altamente Peligrosos en México.</w:t>
      </w:r>
      <w:r w:rsidRPr="008C40D1">
        <w:rPr>
          <w:rFonts w:cs="Calibri Light"/>
          <w:noProof/>
          <w:szCs w:val="24"/>
        </w:rPr>
        <w:t xml:space="preserve"> (1a ed., pp. 263–278). (RAPAM), Red de </w:t>
      </w:r>
      <w:r w:rsidRPr="008C40D1">
        <w:rPr>
          <w:rFonts w:cs="Calibri Light"/>
          <w:noProof/>
          <w:szCs w:val="24"/>
        </w:rPr>
        <w:lastRenderedPageBreak/>
        <w:t>Acción sobre plaguicidas y alternativas en Mëxico. https://doi.org/10.1097/NNA.0b013e31828958cd</w:t>
      </w:r>
    </w:p>
    <w:p w14:paraId="50F128A5"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González Acereto, J. Á., &amp; Quezada Euán, J. J. (2010). Producción tradicional de miel: abejas nativas sin aguijón (trigonas y melilponas. In R. Durán García &amp; M. E. Méndez González (Eds.), </w:t>
      </w:r>
      <w:r w:rsidRPr="008C40D1">
        <w:rPr>
          <w:rFonts w:cs="Calibri Light"/>
          <w:i/>
          <w:iCs/>
          <w:noProof/>
          <w:szCs w:val="24"/>
        </w:rPr>
        <w:t>Biodiversidad y desarrollo humano en Yucatán</w:t>
      </w:r>
      <w:r w:rsidRPr="008C40D1">
        <w:rPr>
          <w:rFonts w:cs="Calibri Light"/>
          <w:noProof/>
          <w:szCs w:val="24"/>
        </w:rPr>
        <w:t xml:space="preserve"> (1a ed., p. 496).</w:t>
      </w:r>
    </w:p>
    <w:p w14:paraId="4EB1162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González Herrera, R. A., Albornoz Euán, B. S. I., Sánchez Y Pinto, I. A., &amp; Osorio Rodríguez, J. H. (2018). El Acuífero yucateco. Análisis del Riesgo de contaminación con apoyo de un sistema de información geográfica. </w:t>
      </w:r>
      <w:r w:rsidRPr="008C40D1">
        <w:rPr>
          <w:rFonts w:cs="Calibri Light"/>
          <w:i/>
          <w:iCs/>
          <w:noProof/>
          <w:szCs w:val="24"/>
        </w:rPr>
        <w:t>Revista Internacional de Contaminación Ambiental</w:t>
      </w:r>
      <w:r w:rsidRPr="008C40D1">
        <w:rPr>
          <w:rFonts w:cs="Calibri Light"/>
          <w:noProof/>
          <w:szCs w:val="24"/>
        </w:rPr>
        <w:t xml:space="preserve">, </w:t>
      </w:r>
      <w:r w:rsidRPr="008C40D1">
        <w:rPr>
          <w:rFonts w:cs="Calibri Light"/>
          <w:i/>
          <w:iCs/>
          <w:noProof/>
          <w:szCs w:val="24"/>
        </w:rPr>
        <w:t>34</w:t>
      </w:r>
      <w:r w:rsidRPr="008C40D1">
        <w:rPr>
          <w:rFonts w:cs="Calibri Light"/>
          <w:noProof/>
          <w:szCs w:val="24"/>
        </w:rPr>
        <w:t>(4), 667–683. https://doi.org/10.20937/RICA.2018.34.04.09</w:t>
      </w:r>
    </w:p>
    <w:p w14:paraId="7AAC0306"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Herrera-Silveira, J. A. (2006). Lagunas Costeras de Yucatán (SE, México): Investigación, Diagnóstico Y Manejo. </w:t>
      </w:r>
      <w:r w:rsidRPr="008C40D1">
        <w:rPr>
          <w:rFonts w:cs="Calibri Light"/>
          <w:i/>
          <w:iCs/>
          <w:noProof/>
          <w:szCs w:val="24"/>
        </w:rPr>
        <w:t>Ecotropicos</w:t>
      </w:r>
      <w:r w:rsidRPr="008C40D1">
        <w:rPr>
          <w:rFonts w:cs="Calibri Light"/>
          <w:noProof/>
          <w:szCs w:val="24"/>
        </w:rPr>
        <w:t xml:space="preserve">, </w:t>
      </w:r>
      <w:r w:rsidRPr="008C40D1">
        <w:rPr>
          <w:rFonts w:cs="Calibri Light"/>
          <w:i/>
          <w:iCs/>
          <w:noProof/>
          <w:szCs w:val="24"/>
        </w:rPr>
        <w:t>19</w:t>
      </w:r>
      <w:r w:rsidRPr="008C40D1">
        <w:rPr>
          <w:rFonts w:cs="Calibri Light"/>
          <w:noProof/>
          <w:szCs w:val="24"/>
        </w:rPr>
        <w:t>(2), 94–108.</w:t>
      </w:r>
    </w:p>
    <w:p w14:paraId="33FCFF1B"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Hoogesteijn, A., Febles-Patrón, J. L., &amp; Nava-Galindo, V. A. (2015). La contaminación fecal en cenotes de interés turístico y recreacional del estado de Yucatán. </w:t>
      </w:r>
      <w:r w:rsidRPr="008C40D1">
        <w:rPr>
          <w:rFonts w:cs="Calibri Light"/>
          <w:i/>
          <w:iCs/>
          <w:noProof/>
          <w:szCs w:val="24"/>
        </w:rPr>
        <w:t>Ingeniería</w:t>
      </w:r>
      <w:r w:rsidRPr="008C40D1">
        <w:rPr>
          <w:rFonts w:cs="Calibri Light"/>
          <w:noProof/>
          <w:szCs w:val="24"/>
        </w:rPr>
        <w:t xml:space="preserve">, </w:t>
      </w:r>
      <w:r w:rsidRPr="008C40D1">
        <w:rPr>
          <w:rFonts w:cs="Calibri Light"/>
          <w:i/>
          <w:iCs/>
          <w:noProof/>
          <w:szCs w:val="24"/>
        </w:rPr>
        <w:t>19</w:t>
      </w:r>
      <w:r w:rsidRPr="008C40D1">
        <w:rPr>
          <w:rFonts w:cs="Calibri Light"/>
          <w:noProof/>
          <w:szCs w:val="24"/>
        </w:rPr>
        <w:t>(3), 169–175. https://www.redalyc.org/pdf/467/46750926004.pdf</w:t>
      </w:r>
    </w:p>
    <w:p w14:paraId="0BD38774"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Kauffer, E., &amp; Villanueva, C. (2011). Challenges of water management in a constructed watershed: the Yucatan Peninsula. Watershed in Mexico. </w:t>
      </w:r>
      <w:r w:rsidRPr="008C40D1">
        <w:rPr>
          <w:rFonts w:cs="Calibri Light"/>
          <w:i/>
          <w:iCs/>
          <w:noProof/>
          <w:szCs w:val="24"/>
        </w:rPr>
        <w:t>Aqua-LAC</w:t>
      </w:r>
      <w:r w:rsidRPr="008C40D1">
        <w:rPr>
          <w:rFonts w:cs="Calibri Light"/>
          <w:noProof/>
          <w:szCs w:val="24"/>
        </w:rPr>
        <w:t xml:space="preserve">, </w:t>
      </w:r>
      <w:r w:rsidRPr="008C40D1">
        <w:rPr>
          <w:rFonts w:cs="Calibri Light"/>
          <w:i/>
          <w:iCs/>
          <w:noProof/>
          <w:szCs w:val="24"/>
        </w:rPr>
        <w:t>3</w:t>
      </w:r>
      <w:r w:rsidRPr="008C40D1">
        <w:rPr>
          <w:rFonts w:cs="Calibri Light"/>
          <w:noProof/>
          <w:szCs w:val="24"/>
        </w:rPr>
        <w:t>(2), 81–91.</w:t>
      </w:r>
    </w:p>
    <w:p w14:paraId="081D939A"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Mascorro, V. S., Coops, N. C., Kurz, W. A., &amp; Olguín, M. (2016). Attributing changes in land cover using independent disturbance datasets: a case study of the Yucatan Peninsula, Mexico. </w:t>
      </w:r>
      <w:r w:rsidRPr="008C40D1">
        <w:rPr>
          <w:rFonts w:cs="Calibri Light"/>
          <w:i/>
          <w:iCs/>
          <w:noProof/>
          <w:szCs w:val="24"/>
        </w:rPr>
        <w:t>Regional Environmental Change</w:t>
      </w:r>
      <w:r w:rsidRPr="008C40D1">
        <w:rPr>
          <w:rFonts w:cs="Calibri Light"/>
          <w:noProof/>
          <w:szCs w:val="24"/>
        </w:rPr>
        <w:t xml:space="preserve">, </w:t>
      </w:r>
      <w:r w:rsidRPr="008C40D1">
        <w:rPr>
          <w:rFonts w:cs="Calibri Light"/>
          <w:i/>
          <w:iCs/>
          <w:noProof/>
          <w:szCs w:val="24"/>
        </w:rPr>
        <w:t>16</w:t>
      </w:r>
      <w:r w:rsidRPr="008C40D1">
        <w:rPr>
          <w:rFonts w:cs="Calibri Light"/>
          <w:noProof/>
          <w:szCs w:val="24"/>
        </w:rPr>
        <w:t>(1), 213–228. https://doi.org/10.1007/s10113-014-0739-0</w:t>
      </w:r>
    </w:p>
    <w:p w14:paraId="71B43251"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Méndez, N. R., Castillo, B. E., Vázquez, B. E., Briceño, P. O., Coronado, P. V., Pat, C. R., Garrico, V. P., &amp; Garrido, V. P. (2009). Estimación del potencial contaminante de las granjas porcinas y avícolas del estado de Yucatán Estimation of the polluting potential of poultry and swine farms in the State of Yucatan. </w:t>
      </w:r>
      <w:r w:rsidRPr="008C40D1">
        <w:rPr>
          <w:rFonts w:cs="Calibri Light"/>
          <w:i/>
          <w:iCs/>
          <w:noProof/>
          <w:szCs w:val="24"/>
        </w:rPr>
        <w:t>Ingeniería, Revista Académica de La FI-UADY</w:t>
      </w:r>
      <w:r w:rsidRPr="008C40D1">
        <w:rPr>
          <w:rFonts w:cs="Calibri Light"/>
          <w:noProof/>
          <w:szCs w:val="24"/>
        </w:rPr>
        <w:t xml:space="preserve">, </w:t>
      </w:r>
      <w:r w:rsidRPr="008C40D1">
        <w:rPr>
          <w:rFonts w:cs="Calibri Light"/>
          <w:i/>
          <w:iCs/>
          <w:noProof/>
          <w:szCs w:val="24"/>
        </w:rPr>
        <w:t>13</w:t>
      </w:r>
      <w:r w:rsidRPr="008C40D1">
        <w:rPr>
          <w:rFonts w:cs="Calibri Light"/>
          <w:noProof/>
          <w:szCs w:val="24"/>
        </w:rPr>
        <w:t>(12), 13–21.</w:t>
      </w:r>
    </w:p>
    <w:p w14:paraId="47743E23"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OCDE. (2019). </w:t>
      </w:r>
      <w:r w:rsidRPr="008C40D1">
        <w:rPr>
          <w:rFonts w:cs="Calibri Light"/>
          <w:i/>
          <w:iCs/>
          <w:noProof/>
          <w:szCs w:val="24"/>
        </w:rPr>
        <w:t>Exámenes de mercado en México. Estudio de caso del mercado de la carne de cerdo</w:t>
      </w:r>
      <w:r w:rsidRPr="008C40D1">
        <w:rPr>
          <w:rFonts w:cs="Calibri Light"/>
          <w:noProof/>
          <w:szCs w:val="24"/>
        </w:rPr>
        <w:t>. https://www.oecd.org/daf/competition/market-examinations-mexico-pork-meat-market-web-esp.pdf</w:t>
      </w:r>
    </w:p>
    <w:p w14:paraId="51808DFE"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Ortiz-Pech, R., Celis Fajardo, H. E., &amp; Garcia Gil, G. (2017). Impacto de las actividades productivas y de la expansión urbana sobre una reserva ecológica; el caso de Cuxtal, Yucatán; México. </w:t>
      </w:r>
      <w:r w:rsidRPr="008C40D1">
        <w:rPr>
          <w:rFonts w:cs="Calibri Light"/>
          <w:i/>
          <w:iCs/>
          <w:noProof/>
          <w:szCs w:val="24"/>
        </w:rPr>
        <w:t>Nóesis. Revista de Ciencias Sociales y Humanidades</w:t>
      </w:r>
      <w:r w:rsidRPr="008C40D1">
        <w:rPr>
          <w:rFonts w:cs="Calibri Light"/>
          <w:noProof/>
          <w:szCs w:val="24"/>
        </w:rPr>
        <w:t xml:space="preserve">, </w:t>
      </w:r>
      <w:r w:rsidRPr="008C40D1">
        <w:rPr>
          <w:rFonts w:cs="Calibri Light"/>
          <w:i/>
          <w:iCs/>
          <w:noProof/>
          <w:szCs w:val="24"/>
        </w:rPr>
        <w:t>26</w:t>
      </w:r>
      <w:r w:rsidRPr="008C40D1">
        <w:rPr>
          <w:rFonts w:cs="Calibri Light"/>
          <w:noProof/>
          <w:szCs w:val="24"/>
        </w:rPr>
        <w:t>(52), 1–22. https://doi.org/10.20983/noesis.2017.2.1</w:t>
      </w:r>
    </w:p>
    <w:p w14:paraId="4BD43BD7"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Pacheco-Ávila, J., Cabrera Sansores, A., &amp; Pérez-Ceballos, R. (2004). Diagnóstico de la calidad del agua subterránea en los sistemas municipales de abastecimiento en el Estado de Yucatán, México. </w:t>
      </w:r>
      <w:r w:rsidRPr="008C40D1">
        <w:rPr>
          <w:rFonts w:cs="Calibri Light"/>
          <w:i/>
          <w:iCs/>
          <w:noProof/>
          <w:szCs w:val="24"/>
        </w:rPr>
        <w:t>Ingeniería</w:t>
      </w:r>
      <w:r w:rsidRPr="008C40D1">
        <w:rPr>
          <w:rFonts w:cs="Calibri Light"/>
          <w:noProof/>
          <w:szCs w:val="24"/>
        </w:rPr>
        <w:t xml:space="preserve">, </w:t>
      </w:r>
      <w:r w:rsidRPr="008C40D1">
        <w:rPr>
          <w:rFonts w:cs="Calibri Light"/>
          <w:i/>
          <w:iCs/>
          <w:noProof/>
          <w:szCs w:val="24"/>
        </w:rPr>
        <w:t>8</w:t>
      </w:r>
      <w:r w:rsidRPr="008C40D1">
        <w:rPr>
          <w:rFonts w:cs="Calibri Light"/>
          <w:noProof/>
          <w:szCs w:val="24"/>
        </w:rPr>
        <w:t>(2), 165–179.</w:t>
      </w:r>
    </w:p>
    <w:p w14:paraId="67B8078F"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Reyes Maturano, I. (2017). Yucatán ante un nuevo horizonte: Urgencia de conocimiento científico en el proceso local de la transición energética. </w:t>
      </w:r>
      <w:r w:rsidRPr="008C40D1">
        <w:rPr>
          <w:rFonts w:cs="Calibri Light"/>
          <w:i/>
          <w:iCs/>
          <w:noProof/>
          <w:szCs w:val="24"/>
        </w:rPr>
        <w:t>Desde El Herbario CICY</w:t>
      </w:r>
      <w:r w:rsidRPr="008C40D1">
        <w:rPr>
          <w:rFonts w:cs="Calibri Light"/>
          <w:noProof/>
          <w:szCs w:val="24"/>
        </w:rPr>
        <w:t xml:space="preserve">, </w:t>
      </w:r>
      <w:r w:rsidRPr="008C40D1">
        <w:rPr>
          <w:rFonts w:cs="Calibri Light"/>
          <w:i/>
          <w:iCs/>
          <w:noProof/>
          <w:szCs w:val="24"/>
        </w:rPr>
        <w:t>9</w:t>
      </w:r>
      <w:r w:rsidRPr="008C40D1">
        <w:rPr>
          <w:rFonts w:cs="Calibri Light"/>
          <w:noProof/>
          <w:szCs w:val="24"/>
        </w:rPr>
        <w:t>, 118–125. http://www.cicy.mx/sitios/desde_herbario/</w:t>
      </w:r>
    </w:p>
    <w:p w14:paraId="1A06F615"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Rodríguez-Robayo, K. J., Méndez-López, M. E., Juarez-Téllez, L., &amp; Peralta-Blanco, R. M. (2020). Configuración de los sistemas socio-ecológicos en zonas metropolitanas. La experiencia en Mérida, Yucatán, México. </w:t>
      </w:r>
      <w:r w:rsidRPr="008C40D1">
        <w:rPr>
          <w:rFonts w:cs="Calibri Light"/>
          <w:i/>
          <w:iCs/>
          <w:noProof/>
          <w:szCs w:val="24"/>
        </w:rPr>
        <w:t>Quivera</w:t>
      </w:r>
      <w:r w:rsidRPr="008C40D1">
        <w:rPr>
          <w:rFonts w:cs="Calibri Light"/>
          <w:noProof/>
          <w:szCs w:val="24"/>
        </w:rPr>
        <w:t>, 97–126. https://doi.org/10.36677/qret.v22i1</w:t>
      </w:r>
    </w:p>
    <w:p w14:paraId="181B4425"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Sacramento Rivero, J. C., Eastmond-Spencer, A., Becerril García, J., &amp; Navarro-Pineda, F. S. (2016). A three-dimensional sustainability evaluation of Jatropha plantations in Yucatan, Mexico. </w:t>
      </w:r>
      <w:r w:rsidRPr="008C40D1">
        <w:rPr>
          <w:rFonts w:cs="Calibri Light"/>
          <w:i/>
          <w:iCs/>
          <w:noProof/>
          <w:szCs w:val="24"/>
        </w:rPr>
        <w:t>Sustainability (Switzerland)</w:t>
      </w:r>
      <w:r w:rsidRPr="008C40D1">
        <w:rPr>
          <w:rFonts w:cs="Calibri Light"/>
          <w:noProof/>
          <w:szCs w:val="24"/>
        </w:rPr>
        <w:t xml:space="preserve">, </w:t>
      </w:r>
      <w:r w:rsidRPr="008C40D1">
        <w:rPr>
          <w:rFonts w:cs="Calibri Light"/>
          <w:i/>
          <w:iCs/>
          <w:noProof/>
          <w:szCs w:val="24"/>
        </w:rPr>
        <w:t>8</w:t>
      </w:r>
      <w:r w:rsidRPr="008C40D1">
        <w:rPr>
          <w:rFonts w:cs="Calibri Light"/>
          <w:noProof/>
          <w:szCs w:val="24"/>
        </w:rPr>
        <w:t>(12). https://doi.org/10.3390/su8121316</w:t>
      </w:r>
    </w:p>
    <w:p w14:paraId="691201FA"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Salas, S., Mexicano-Cíntora, G., &amp; Cabrera, M. A. (2006). </w:t>
      </w:r>
      <w:r w:rsidRPr="008C40D1">
        <w:rPr>
          <w:rFonts w:cs="Calibri Light"/>
          <w:i/>
          <w:iCs/>
          <w:noProof/>
          <w:szCs w:val="24"/>
        </w:rPr>
        <w:t>¿Hacia donde van las pesquerías en Yucatán? Tendencias, Retos y Perspectivas</w:t>
      </w:r>
      <w:r w:rsidRPr="008C40D1">
        <w:rPr>
          <w:rFonts w:cs="Calibri Light"/>
          <w:noProof/>
          <w:szCs w:val="24"/>
        </w:rPr>
        <w:t xml:space="preserve"> (Primera). Centro de Investigación y Estudios Avanzados, Unidad Mérida.</w:t>
      </w:r>
    </w:p>
    <w:p w14:paraId="72E2B90C"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Sánchez-Contreras, A., Martínez-Benavides, E., Fabela-Morón, M., Pacheco-López, N., &amp; González-</w:t>
      </w:r>
      <w:r w:rsidRPr="008C40D1">
        <w:rPr>
          <w:rFonts w:cs="Calibri Light"/>
          <w:noProof/>
          <w:szCs w:val="24"/>
        </w:rPr>
        <w:lastRenderedPageBreak/>
        <w:t xml:space="preserve">Flores, T. (2016). Inocuidad de la miel. In A. Ramos Díaz &amp; N. Pacheco López (Eds.), </w:t>
      </w:r>
      <w:r w:rsidRPr="008C40D1">
        <w:rPr>
          <w:rFonts w:cs="Calibri Light"/>
          <w:i/>
          <w:iCs/>
          <w:noProof/>
          <w:szCs w:val="24"/>
        </w:rPr>
        <w:t>Producción y comercialización de miel y sus derivados en México: Desafíos y oportunidades para la exportación</w:t>
      </w:r>
      <w:r w:rsidRPr="008C40D1">
        <w:rPr>
          <w:rFonts w:cs="Calibri Light"/>
          <w:noProof/>
          <w:szCs w:val="24"/>
        </w:rPr>
        <w:t xml:space="preserve"> (pp. 98–121). Centro de Investigación y Asistencia en Tecnología y Diseño del Estado de Jalisco A.C. (CIATEJ), CONACYT.</w:t>
      </w:r>
    </w:p>
    <w:p w14:paraId="2FE7068A"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Torres, W., Méndez, M., Dorantes, A., &amp; Durán, R. (2010). Estructura, composición y diversidad del matorral de duna costera en el litoral yucateco. </w:t>
      </w:r>
      <w:r w:rsidRPr="008C40D1">
        <w:rPr>
          <w:rFonts w:cs="Calibri Light"/>
          <w:i/>
          <w:iCs/>
          <w:noProof/>
          <w:szCs w:val="24"/>
        </w:rPr>
        <w:t>Boletin de La Sociedad Botánica de México</w:t>
      </w:r>
      <w:r w:rsidRPr="008C40D1">
        <w:rPr>
          <w:rFonts w:cs="Calibri Light"/>
          <w:noProof/>
          <w:szCs w:val="24"/>
        </w:rPr>
        <w:t xml:space="preserve">, </w:t>
      </w:r>
      <w:r w:rsidRPr="008C40D1">
        <w:rPr>
          <w:rFonts w:cs="Calibri Light"/>
          <w:i/>
          <w:iCs/>
          <w:noProof/>
          <w:szCs w:val="24"/>
        </w:rPr>
        <w:t>86</w:t>
      </w:r>
      <w:r w:rsidRPr="008C40D1">
        <w:rPr>
          <w:rFonts w:cs="Calibri Light"/>
          <w:noProof/>
          <w:szCs w:val="24"/>
        </w:rPr>
        <w:t>, 37–51. https://doi.org/10.17129/botsci.2319</w:t>
      </w:r>
    </w:p>
    <w:p w14:paraId="4CF2A869" w14:textId="77777777" w:rsidR="00494C0C" w:rsidRPr="008C40D1" w:rsidRDefault="00494C0C" w:rsidP="008C40D1">
      <w:pPr>
        <w:pStyle w:val="Prrafodelista"/>
        <w:widowControl w:val="0"/>
        <w:numPr>
          <w:ilvl w:val="3"/>
          <w:numId w:val="24"/>
        </w:numPr>
        <w:ind w:left="426"/>
        <w:rPr>
          <w:rFonts w:cs="Calibri Light"/>
          <w:noProof/>
          <w:szCs w:val="24"/>
        </w:rPr>
      </w:pPr>
      <w:r w:rsidRPr="008C40D1">
        <w:rPr>
          <w:rFonts w:cs="Calibri Light"/>
          <w:noProof/>
          <w:szCs w:val="24"/>
        </w:rPr>
        <w:t xml:space="preserve">Williams, D. R., Alvarado, F., Green, R. E., Manica, A., Phalan, B., &amp; Balmford, A. (2017). Land-use strategies to balance livestock production, biodiversity conservation and carbon storage in Yucatán, Mexico. </w:t>
      </w:r>
      <w:r w:rsidRPr="008C40D1">
        <w:rPr>
          <w:rFonts w:cs="Calibri Light"/>
          <w:i/>
          <w:iCs/>
          <w:noProof/>
          <w:szCs w:val="24"/>
        </w:rPr>
        <w:t>Global Change Biology</w:t>
      </w:r>
      <w:r w:rsidRPr="008C40D1">
        <w:rPr>
          <w:rFonts w:cs="Calibri Light"/>
          <w:noProof/>
          <w:szCs w:val="24"/>
        </w:rPr>
        <w:t xml:space="preserve">, </w:t>
      </w:r>
      <w:r w:rsidRPr="008C40D1">
        <w:rPr>
          <w:rFonts w:cs="Calibri Light"/>
          <w:i/>
          <w:iCs/>
          <w:noProof/>
          <w:szCs w:val="24"/>
        </w:rPr>
        <w:t>23</w:t>
      </w:r>
      <w:r w:rsidRPr="008C40D1">
        <w:rPr>
          <w:rFonts w:cs="Calibri Light"/>
          <w:noProof/>
          <w:szCs w:val="24"/>
        </w:rPr>
        <w:t>(12), 5260–5272. https://doi.org/10.1111/gcb.13791</w:t>
      </w:r>
    </w:p>
    <w:p w14:paraId="1ABC642C" w14:textId="77777777" w:rsidR="00494C0C" w:rsidRPr="008C40D1" w:rsidRDefault="00494C0C" w:rsidP="008C40D1">
      <w:pPr>
        <w:pStyle w:val="Prrafodelista"/>
        <w:widowControl w:val="0"/>
        <w:numPr>
          <w:ilvl w:val="3"/>
          <w:numId w:val="24"/>
        </w:numPr>
        <w:ind w:left="426"/>
        <w:rPr>
          <w:rFonts w:cs="Calibri Light"/>
          <w:noProof/>
        </w:rPr>
      </w:pPr>
      <w:r w:rsidRPr="008C40D1">
        <w:rPr>
          <w:rFonts w:cs="Calibri Light"/>
          <w:noProof/>
          <w:szCs w:val="24"/>
        </w:rPr>
        <w:t xml:space="preserve">Zárate Toledo, E., &amp; Fraga, J. (2016). La política eólica mexicana: Controversias sociales y ambientales debido a su implantación territorial. Estudios de caso en Oaxaca y Yucatán. </w:t>
      </w:r>
      <w:r w:rsidRPr="008C40D1">
        <w:rPr>
          <w:rFonts w:cs="Calibri Light"/>
          <w:i/>
          <w:iCs/>
          <w:noProof/>
          <w:szCs w:val="24"/>
        </w:rPr>
        <w:t>Revista Trace 69</w:t>
      </w:r>
      <w:r w:rsidRPr="008C40D1">
        <w:rPr>
          <w:rFonts w:cs="Calibri Light"/>
          <w:noProof/>
          <w:szCs w:val="24"/>
        </w:rPr>
        <w:t>, 65–95. https://doi.org/10.22134/trace.v0i69.10</w:t>
      </w:r>
    </w:p>
    <w:p w14:paraId="1DFF296A" w14:textId="77557B01" w:rsidR="00194FB8" w:rsidRDefault="00194FB8" w:rsidP="008C40D1">
      <w:pPr>
        <w:ind w:left="426"/>
      </w:pPr>
      <w:r w:rsidRPr="00614923">
        <w:fldChar w:fldCharType="end"/>
      </w:r>
    </w:p>
    <w:p w14:paraId="255CC04A" w14:textId="72499226" w:rsidR="00FE1F09" w:rsidRDefault="00FE1F09" w:rsidP="008C40D1">
      <w:pPr>
        <w:ind w:left="426"/>
      </w:pPr>
    </w:p>
    <w:p w14:paraId="0B78AFA6" w14:textId="77777777" w:rsidR="00FE1F09" w:rsidRPr="00194FB8" w:rsidRDefault="00FE1F09" w:rsidP="00194FB8"/>
    <w:sectPr w:rsidR="00FE1F09" w:rsidRPr="00194FB8" w:rsidSect="00F81C93">
      <w:headerReference w:type="default" r:id="rId10"/>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0ADE" w14:textId="77777777" w:rsidR="00C02BE9" w:rsidRDefault="00C02BE9" w:rsidP="00E769BA">
      <w:r>
        <w:separator/>
      </w:r>
    </w:p>
    <w:p w14:paraId="7250A0B7" w14:textId="77777777" w:rsidR="00C02BE9" w:rsidRDefault="00C02BE9"/>
  </w:endnote>
  <w:endnote w:type="continuationSeparator" w:id="0">
    <w:p w14:paraId="1EFB9688" w14:textId="77777777" w:rsidR="00C02BE9" w:rsidRDefault="00C02BE9" w:rsidP="00E769BA">
      <w:r>
        <w:continuationSeparator/>
      </w:r>
    </w:p>
    <w:p w14:paraId="34CA8FD0" w14:textId="77777777" w:rsidR="00C02BE9" w:rsidRDefault="00C02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taPro-Normal">
    <w:altName w:val="Calibri"/>
    <w:panose1 w:val="00000000000000000000"/>
    <w:charset w:val="00"/>
    <w:family w:val="modern"/>
    <w:notTrueType/>
    <w:pitch w:val="variable"/>
    <w:sig w:usb0="800002AF" w:usb1="4000206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0000000000000000000"/>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MetaPro-Book">
    <w:altName w:val="Arial"/>
    <w:panose1 w:val="00000000000000000000"/>
    <w:charset w:val="00"/>
    <w:family w:val="modern"/>
    <w:notTrueType/>
    <w:pitch w:val="variable"/>
    <w:sig w:usb0="800002AF" w:usb1="4000206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B71E8" w14:textId="77777777" w:rsidR="00C02BE9" w:rsidRPr="0010156F" w:rsidRDefault="00C02BE9" w:rsidP="00E769BA">
      <w:pPr>
        <w:rPr>
          <w:sz w:val="16"/>
        </w:rPr>
      </w:pPr>
      <w:r w:rsidRPr="0010156F">
        <w:rPr>
          <w:sz w:val="16"/>
        </w:rPr>
        <w:separator/>
      </w:r>
    </w:p>
    <w:p w14:paraId="705DACEA" w14:textId="77777777" w:rsidR="00C02BE9" w:rsidRPr="0010156F" w:rsidRDefault="00C02BE9">
      <w:pPr>
        <w:rPr>
          <w:sz w:val="16"/>
        </w:rPr>
      </w:pPr>
    </w:p>
  </w:footnote>
  <w:footnote w:type="continuationSeparator" w:id="0">
    <w:p w14:paraId="5470B8BD" w14:textId="77777777" w:rsidR="00C02BE9" w:rsidRDefault="00C02BE9" w:rsidP="00E769BA">
      <w:r>
        <w:continuationSeparator/>
      </w:r>
    </w:p>
    <w:p w14:paraId="036C0FD1" w14:textId="77777777" w:rsidR="00C02BE9" w:rsidRDefault="00C02B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9524"/>
      <w:gridCol w:w="680"/>
    </w:tblGrid>
    <w:tr w:rsidR="00C432F0" w:rsidRPr="001C3CDB" w14:paraId="378F161C" w14:textId="77777777" w:rsidTr="00AF111C">
      <w:trPr>
        <w:trHeight w:val="340"/>
      </w:trPr>
      <w:tc>
        <w:tcPr>
          <w:tcW w:w="9524" w:type="dxa"/>
          <w:vAlign w:val="center"/>
        </w:tcPr>
        <w:p w14:paraId="4F9AEE6C" w14:textId="77777777" w:rsidR="00C432F0" w:rsidRPr="00294E67" w:rsidRDefault="00C432F0" w:rsidP="00C4283E">
          <w:pPr>
            <w:pStyle w:val="Cornisas"/>
            <w:tabs>
              <w:tab w:val="clear" w:pos="454"/>
            </w:tabs>
            <w:ind w:left="176"/>
            <w:jc w:val="left"/>
            <w:rPr>
              <w:color w:val="A6A6A6" w:themeColor="background1" w:themeShade="A6"/>
              <w:sz w:val="17"/>
              <w:szCs w:val="17"/>
            </w:rPr>
          </w:pPr>
          <w:r>
            <w:rPr>
              <w:color w:val="A6A6A6" w:themeColor="background1" w:themeShade="A6"/>
              <w:sz w:val="17"/>
              <w:szCs w:val="17"/>
            </w:rPr>
            <w:t>Título proyecto (actualizar)</w:t>
          </w:r>
        </w:p>
      </w:tc>
      <w:tc>
        <w:tcPr>
          <w:tcW w:w="680" w:type="dxa"/>
          <w:vAlign w:val="center"/>
        </w:tcPr>
        <w:p w14:paraId="05B97A22" w14:textId="77777777" w:rsidR="00C432F0" w:rsidRPr="00294E67" w:rsidRDefault="00C432F0" w:rsidP="00AF111C">
          <w:pPr>
            <w:pStyle w:val="Cornisas"/>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07500D03" w14:textId="77777777" w:rsidR="00C432F0" w:rsidRDefault="00C432F0"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041BBF"/>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E8C6D26"/>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2935EAC"/>
    <w:multiLevelType w:val="multilevel"/>
    <w:tmpl w:val="C41277CA"/>
    <w:lvl w:ilvl="0">
      <w:start w:val="4"/>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792526"/>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49A1152"/>
    <w:multiLevelType w:val="multilevel"/>
    <w:tmpl w:val="3B660020"/>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923212"/>
    <w:multiLevelType w:val="hybridMultilevel"/>
    <w:tmpl w:val="99409534"/>
    <w:lvl w:ilvl="0" w:tplc="7B46AD64">
      <w:start w:val="1"/>
      <w:numFmt w:val="bullet"/>
      <w:pStyle w:val="Listado2"/>
      <w:lvlText w:val="•"/>
      <w:lvlJc w:val="left"/>
      <w:pPr>
        <w:ind w:left="1060" w:hanging="360"/>
      </w:pPr>
      <w:rPr>
        <w:rFonts w:ascii="Calibri" w:hAnsi="Calibri" w:hint="default"/>
        <w:color w:val="808080" w:themeColor="background1" w:themeShade="80"/>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D916CA36"/>
    <w:lvl w:ilvl="0">
      <w:start w:val="1"/>
      <w:numFmt w:val="decimal"/>
      <w:pStyle w:val="Ttulo1"/>
      <w:lvlText w:val="%1"/>
      <w:lvlJc w:val="left"/>
      <w:pPr>
        <w:ind w:left="454" w:hanging="454"/>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none"/>
      <w:pStyle w:val="Ttulo5"/>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5D143E7"/>
    <w:multiLevelType w:val="hybridMultilevel"/>
    <w:tmpl w:val="436E5028"/>
    <w:lvl w:ilvl="0" w:tplc="6AFE1A46">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3" w15:restartNumberingAfterBreak="0">
    <w:nsid w:val="72881F2F"/>
    <w:multiLevelType w:val="hybridMultilevel"/>
    <w:tmpl w:val="2AB6FEF2"/>
    <w:lvl w:ilvl="0" w:tplc="26FACB7C">
      <w:start w:val="1"/>
      <w:numFmt w:val="bullet"/>
      <w:lvlText w:val="•"/>
      <w:lvlJc w:val="left"/>
      <w:pPr>
        <w:ind w:left="1077" w:hanging="360"/>
      </w:pPr>
      <w:rPr>
        <w:rFonts w:ascii="MetaPro-Normal" w:hAnsi="MetaPro-Normal" w:hint="default"/>
        <w:color w:val="7F7F7F" w:themeColor="text1" w:themeTint="80"/>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4" w15:restartNumberingAfterBreak="0">
    <w:nsid w:val="76F4501A"/>
    <w:multiLevelType w:val="hybridMultilevel"/>
    <w:tmpl w:val="45AC4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7E3115"/>
    <w:multiLevelType w:val="multilevel"/>
    <w:tmpl w:val="94E0C978"/>
    <w:lvl w:ilvl="0">
      <w:start w:val="1"/>
      <w:numFmt w:val="decimal"/>
      <w:lvlText w:val="%1"/>
      <w:lvlJc w:val="left"/>
      <w:pPr>
        <w:ind w:left="79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0"/>
  </w:num>
  <w:num w:numId="3">
    <w:abstractNumId w:val="12"/>
  </w:num>
  <w:num w:numId="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4"/>
  </w:num>
  <w:num w:numId="8">
    <w:abstractNumId w:val="1"/>
  </w:num>
  <w:num w:numId="9">
    <w:abstractNumId w:val="13"/>
  </w:num>
  <w:num w:numId="10">
    <w:abstractNumId w:val="3"/>
  </w:num>
  <w:num w:numId="11">
    <w:abstractNumId w:val="11"/>
  </w:num>
  <w:num w:numId="12">
    <w:abstractNumId w:val="4"/>
  </w:num>
  <w:num w:numId="13">
    <w:abstractNumId w:val="4"/>
  </w:num>
  <w:num w:numId="14">
    <w:abstractNumId w:val="4"/>
  </w:num>
  <w:num w:numId="15">
    <w:abstractNumId w:val="4"/>
  </w:num>
  <w:num w:numId="16">
    <w:abstractNumId w:val="11"/>
  </w:num>
  <w:num w:numId="17">
    <w:abstractNumId w:val="9"/>
  </w:num>
  <w:num w:numId="18">
    <w:abstractNumId w:val="11"/>
    <w:lvlOverride w:ilvl="0">
      <w:startOverride w:val="1"/>
    </w:lvlOverride>
  </w:num>
  <w:num w:numId="19">
    <w:abstractNumId w:val="8"/>
  </w:num>
  <w:num w:numId="20">
    <w:abstractNumId w:val="6"/>
  </w:num>
  <w:num w:numId="21">
    <w:abstractNumId w:val="7"/>
  </w:num>
  <w:num w:numId="22">
    <w:abstractNumId w:val="2"/>
  </w:num>
  <w:num w:numId="23">
    <w:abstractNumId w:val="15"/>
  </w:num>
  <w:num w:numId="2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2NDSxNDSyMLY0N7ZQ0lEKTi0uzszPAykwqQUAR44CzCwAAAA="/>
  </w:docVars>
  <w:rsids>
    <w:rsidRoot w:val="00740B6F"/>
    <w:rsid w:val="00000EF8"/>
    <w:rsid w:val="00001B25"/>
    <w:rsid w:val="00005B54"/>
    <w:rsid w:val="000069D8"/>
    <w:rsid w:val="0000776E"/>
    <w:rsid w:val="00007BCC"/>
    <w:rsid w:val="0001181A"/>
    <w:rsid w:val="00012F9F"/>
    <w:rsid w:val="00014103"/>
    <w:rsid w:val="0001763B"/>
    <w:rsid w:val="0002015A"/>
    <w:rsid w:val="000202A0"/>
    <w:rsid w:val="00020365"/>
    <w:rsid w:val="00020C54"/>
    <w:rsid w:val="000213DE"/>
    <w:rsid w:val="00024AC2"/>
    <w:rsid w:val="00025181"/>
    <w:rsid w:val="00032F7D"/>
    <w:rsid w:val="00033379"/>
    <w:rsid w:val="0003551D"/>
    <w:rsid w:val="0003588D"/>
    <w:rsid w:val="00042915"/>
    <w:rsid w:val="00042CE6"/>
    <w:rsid w:val="00044A8A"/>
    <w:rsid w:val="00046FD6"/>
    <w:rsid w:val="00052DCD"/>
    <w:rsid w:val="00056E32"/>
    <w:rsid w:val="000624B8"/>
    <w:rsid w:val="000655A9"/>
    <w:rsid w:val="00066B2A"/>
    <w:rsid w:val="0006786B"/>
    <w:rsid w:val="00071026"/>
    <w:rsid w:val="00071E64"/>
    <w:rsid w:val="000726A0"/>
    <w:rsid w:val="00077A52"/>
    <w:rsid w:val="00080A2C"/>
    <w:rsid w:val="00082B2D"/>
    <w:rsid w:val="00086119"/>
    <w:rsid w:val="00087F41"/>
    <w:rsid w:val="000923DF"/>
    <w:rsid w:val="00095419"/>
    <w:rsid w:val="0009687A"/>
    <w:rsid w:val="000A139F"/>
    <w:rsid w:val="000A32F9"/>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D1778"/>
    <w:rsid w:val="000D2329"/>
    <w:rsid w:val="000D3A0F"/>
    <w:rsid w:val="000D5130"/>
    <w:rsid w:val="000D5237"/>
    <w:rsid w:val="000D7508"/>
    <w:rsid w:val="000E1992"/>
    <w:rsid w:val="000E633B"/>
    <w:rsid w:val="000F0059"/>
    <w:rsid w:val="000F0609"/>
    <w:rsid w:val="000F0B79"/>
    <w:rsid w:val="000F0BFF"/>
    <w:rsid w:val="000F17C7"/>
    <w:rsid w:val="000F2A54"/>
    <w:rsid w:val="000F2AAD"/>
    <w:rsid w:val="000F3911"/>
    <w:rsid w:val="000F39F5"/>
    <w:rsid w:val="000F4561"/>
    <w:rsid w:val="000F6CE2"/>
    <w:rsid w:val="000F6FFB"/>
    <w:rsid w:val="000F7432"/>
    <w:rsid w:val="00100598"/>
    <w:rsid w:val="0010156F"/>
    <w:rsid w:val="001021BF"/>
    <w:rsid w:val="001057E6"/>
    <w:rsid w:val="001059F1"/>
    <w:rsid w:val="00106082"/>
    <w:rsid w:val="001065AC"/>
    <w:rsid w:val="001101B7"/>
    <w:rsid w:val="00110B23"/>
    <w:rsid w:val="00112BCB"/>
    <w:rsid w:val="00114D9B"/>
    <w:rsid w:val="001158A7"/>
    <w:rsid w:val="00116E18"/>
    <w:rsid w:val="0012144A"/>
    <w:rsid w:val="00121CA1"/>
    <w:rsid w:val="0012433B"/>
    <w:rsid w:val="0012508B"/>
    <w:rsid w:val="00125BD5"/>
    <w:rsid w:val="00133051"/>
    <w:rsid w:val="001352B0"/>
    <w:rsid w:val="0013638B"/>
    <w:rsid w:val="00136464"/>
    <w:rsid w:val="00140C08"/>
    <w:rsid w:val="001438CE"/>
    <w:rsid w:val="00143AC3"/>
    <w:rsid w:val="00146BC1"/>
    <w:rsid w:val="00153F9A"/>
    <w:rsid w:val="001547FC"/>
    <w:rsid w:val="0015549E"/>
    <w:rsid w:val="00155A37"/>
    <w:rsid w:val="00165BF7"/>
    <w:rsid w:val="00171429"/>
    <w:rsid w:val="00176024"/>
    <w:rsid w:val="00176168"/>
    <w:rsid w:val="00177F93"/>
    <w:rsid w:val="00182E22"/>
    <w:rsid w:val="00185DC4"/>
    <w:rsid w:val="00190790"/>
    <w:rsid w:val="00190D81"/>
    <w:rsid w:val="00191196"/>
    <w:rsid w:val="00194FB8"/>
    <w:rsid w:val="001953D7"/>
    <w:rsid w:val="00197891"/>
    <w:rsid w:val="00197BCE"/>
    <w:rsid w:val="001A1F81"/>
    <w:rsid w:val="001A2B5E"/>
    <w:rsid w:val="001A5191"/>
    <w:rsid w:val="001A5260"/>
    <w:rsid w:val="001A5F70"/>
    <w:rsid w:val="001B143D"/>
    <w:rsid w:val="001B14F9"/>
    <w:rsid w:val="001B2183"/>
    <w:rsid w:val="001B78B5"/>
    <w:rsid w:val="001B791A"/>
    <w:rsid w:val="001C0A0E"/>
    <w:rsid w:val="001C10FB"/>
    <w:rsid w:val="001C1C6D"/>
    <w:rsid w:val="001C3573"/>
    <w:rsid w:val="001C3CDB"/>
    <w:rsid w:val="001C48FE"/>
    <w:rsid w:val="001C5749"/>
    <w:rsid w:val="001D1D9C"/>
    <w:rsid w:val="001D1DF8"/>
    <w:rsid w:val="001D28EB"/>
    <w:rsid w:val="001D584D"/>
    <w:rsid w:val="001D6263"/>
    <w:rsid w:val="001E382B"/>
    <w:rsid w:val="001E4061"/>
    <w:rsid w:val="001F05DC"/>
    <w:rsid w:val="001F0F02"/>
    <w:rsid w:val="001F1BB9"/>
    <w:rsid w:val="001F3727"/>
    <w:rsid w:val="001F3ABE"/>
    <w:rsid w:val="001F51D2"/>
    <w:rsid w:val="001F6A2F"/>
    <w:rsid w:val="001F6F70"/>
    <w:rsid w:val="00202186"/>
    <w:rsid w:val="0020239B"/>
    <w:rsid w:val="00204224"/>
    <w:rsid w:val="00206617"/>
    <w:rsid w:val="00210250"/>
    <w:rsid w:val="002103E6"/>
    <w:rsid w:val="00213CFE"/>
    <w:rsid w:val="002157D6"/>
    <w:rsid w:val="00216066"/>
    <w:rsid w:val="00216494"/>
    <w:rsid w:val="002172AD"/>
    <w:rsid w:val="00217C50"/>
    <w:rsid w:val="00220A86"/>
    <w:rsid w:val="0022333F"/>
    <w:rsid w:val="00226166"/>
    <w:rsid w:val="002339B4"/>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E88"/>
    <w:rsid w:val="002627AB"/>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921B0"/>
    <w:rsid w:val="00294E67"/>
    <w:rsid w:val="00297D29"/>
    <w:rsid w:val="002A01E5"/>
    <w:rsid w:val="002A5193"/>
    <w:rsid w:val="002A5BB4"/>
    <w:rsid w:val="002B5AD1"/>
    <w:rsid w:val="002B6126"/>
    <w:rsid w:val="002C22FE"/>
    <w:rsid w:val="002C2AEF"/>
    <w:rsid w:val="002C30C4"/>
    <w:rsid w:val="002C30C6"/>
    <w:rsid w:val="002C3103"/>
    <w:rsid w:val="002C385B"/>
    <w:rsid w:val="002C5025"/>
    <w:rsid w:val="002C5EF4"/>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2C00"/>
    <w:rsid w:val="002F2DB9"/>
    <w:rsid w:val="002F3398"/>
    <w:rsid w:val="002F3C80"/>
    <w:rsid w:val="002F5CB4"/>
    <w:rsid w:val="002F5FF5"/>
    <w:rsid w:val="00300A23"/>
    <w:rsid w:val="00301C2D"/>
    <w:rsid w:val="00302A4B"/>
    <w:rsid w:val="003039EA"/>
    <w:rsid w:val="00305865"/>
    <w:rsid w:val="00305EE3"/>
    <w:rsid w:val="0031079E"/>
    <w:rsid w:val="0031119D"/>
    <w:rsid w:val="003116A6"/>
    <w:rsid w:val="003133D5"/>
    <w:rsid w:val="003218D4"/>
    <w:rsid w:val="00323440"/>
    <w:rsid w:val="003267A4"/>
    <w:rsid w:val="003272D3"/>
    <w:rsid w:val="00327765"/>
    <w:rsid w:val="003349AD"/>
    <w:rsid w:val="00335701"/>
    <w:rsid w:val="00335D7D"/>
    <w:rsid w:val="0033730C"/>
    <w:rsid w:val="00342A2D"/>
    <w:rsid w:val="00342B13"/>
    <w:rsid w:val="00343A4E"/>
    <w:rsid w:val="00345397"/>
    <w:rsid w:val="003463ED"/>
    <w:rsid w:val="003517F7"/>
    <w:rsid w:val="00352173"/>
    <w:rsid w:val="003532EA"/>
    <w:rsid w:val="00353B2F"/>
    <w:rsid w:val="0035579B"/>
    <w:rsid w:val="0036175B"/>
    <w:rsid w:val="00363376"/>
    <w:rsid w:val="00364716"/>
    <w:rsid w:val="00364877"/>
    <w:rsid w:val="00365A81"/>
    <w:rsid w:val="00366536"/>
    <w:rsid w:val="00372E71"/>
    <w:rsid w:val="00374E41"/>
    <w:rsid w:val="00376C3B"/>
    <w:rsid w:val="00381589"/>
    <w:rsid w:val="00381F46"/>
    <w:rsid w:val="00382FAF"/>
    <w:rsid w:val="0038314A"/>
    <w:rsid w:val="00384357"/>
    <w:rsid w:val="00385138"/>
    <w:rsid w:val="00385C73"/>
    <w:rsid w:val="0039127C"/>
    <w:rsid w:val="003931DF"/>
    <w:rsid w:val="003955D7"/>
    <w:rsid w:val="003A014B"/>
    <w:rsid w:val="003A0224"/>
    <w:rsid w:val="003A76B4"/>
    <w:rsid w:val="003B420E"/>
    <w:rsid w:val="003B4938"/>
    <w:rsid w:val="003B521B"/>
    <w:rsid w:val="003B56B8"/>
    <w:rsid w:val="003B5DD3"/>
    <w:rsid w:val="003C265C"/>
    <w:rsid w:val="003C4C4B"/>
    <w:rsid w:val="003C6690"/>
    <w:rsid w:val="003C719C"/>
    <w:rsid w:val="003D3D09"/>
    <w:rsid w:val="003D3E3F"/>
    <w:rsid w:val="003D5636"/>
    <w:rsid w:val="003D669B"/>
    <w:rsid w:val="003D68A3"/>
    <w:rsid w:val="003D7F55"/>
    <w:rsid w:val="003E1B1D"/>
    <w:rsid w:val="003E226E"/>
    <w:rsid w:val="003E3E30"/>
    <w:rsid w:val="003E54F0"/>
    <w:rsid w:val="003E698E"/>
    <w:rsid w:val="003F3D39"/>
    <w:rsid w:val="003F6528"/>
    <w:rsid w:val="003F71DD"/>
    <w:rsid w:val="003F7247"/>
    <w:rsid w:val="003F7CD2"/>
    <w:rsid w:val="00401168"/>
    <w:rsid w:val="00405AD0"/>
    <w:rsid w:val="0041219F"/>
    <w:rsid w:val="00414F07"/>
    <w:rsid w:val="004152C4"/>
    <w:rsid w:val="00415538"/>
    <w:rsid w:val="004170B5"/>
    <w:rsid w:val="0041744D"/>
    <w:rsid w:val="00417951"/>
    <w:rsid w:val="00417C9B"/>
    <w:rsid w:val="004200E2"/>
    <w:rsid w:val="00420499"/>
    <w:rsid w:val="0042254D"/>
    <w:rsid w:val="0042406D"/>
    <w:rsid w:val="00424113"/>
    <w:rsid w:val="00424DFB"/>
    <w:rsid w:val="00425CEB"/>
    <w:rsid w:val="004263EA"/>
    <w:rsid w:val="00426933"/>
    <w:rsid w:val="00427946"/>
    <w:rsid w:val="00430D0D"/>
    <w:rsid w:val="004323E8"/>
    <w:rsid w:val="00432768"/>
    <w:rsid w:val="00432AD2"/>
    <w:rsid w:val="004368F8"/>
    <w:rsid w:val="004374B4"/>
    <w:rsid w:val="004436A1"/>
    <w:rsid w:val="00444874"/>
    <w:rsid w:val="00444F68"/>
    <w:rsid w:val="00447946"/>
    <w:rsid w:val="004506F2"/>
    <w:rsid w:val="00450B12"/>
    <w:rsid w:val="0045258E"/>
    <w:rsid w:val="00454B7E"/>
    <w:rsid w:val="00455435"/>
    <w:rsid w:val="00455A0B"/>
    <w:rsid w:val="00457CA8"/>
    <w:rsid w:val="00457E64"/>
    <w:rsid w:val="0046655B"/>
    <w:rsid w:val="00466EB7"/>
    <w:rsid w:val="00477175"/>
    <w:rsid w:val="00480BDD"/>
    <w:rsid w:val="00480CA7"/>
    <w:rsid w:val="0048183F"/>
    <w:rsid w:val="00481C75"/>
    <w:rsid w:val="0048295B"/>
    <w:rsid w:val="00482FF4"/>
    <w:rsid w:val="00485968"/>
    <w:rsid w:val="004870CA"/>
    <w:rsid w:val="00490A83"/>
    <w:rsid w:val="004922D6"/>
    <w:rsid w:val="00494C0C"/>
    <w:rsid w:val="00494EFD"/>
    <w:rsid w:val="00495525"/>
    <w:rsid w:val="0049667A"/>
    <w:rsid w:val="004A026F"/>
    <w:rsid w:val="004A1C46"/>
    <w:rsid w:val="004A2FD8"/>
    <w:rsid w:val="004A32BD"/>
    <w:rsid w:val="004A36FA"/>
    <w:rsid w:val="004B1A92"/>
    <w:rsid w:val="004C096C"/>
    <w:rsid w:val="004C0997"/>
    <w:rsid w:val="004C103E"/>
    <w:rsid w:val="004C1F35"/>
    <w:rsid w:val="004C7F83"/>
    <w:rsid w:val="004D284D"/>
    <w:rsid w:val="004D2E6B"/>
    <w:rsid w:val="004D72D7"/>
    <w:rsid w:val="004D7318"/>
    <w:rsid w:val="004E42A1"/>
    <w:rsid w:val="004E4F9C"/>
    <w:rsid w:val="004E6247"/>
    <w:rsid w:val="004E707A"/>
    <w:rsid w:val="004F0B88"/>
    <w:rsid w:val="004F2787"/>
    <w:rsid w:val="004F4DEF"/>
    <w:rsid w:val="004F6AA0"/>
    <w:rsid w:val="004F7B88"/>
    <w:rsid w:val="004F7C1C"/>
    <w:rsid w:val="005000AA"/>
    <w:rsid w:val="00500273"/>
    <w:rsid w:val="005009B6"/>
    <w:rsid w:val="005058D9"/>
    <w:rsid w:val="00507394"/>
    <w:rsid w:val="00507426"/>
    <w:rsid w:val="00507483"/>
    <w:rsid w:val="005075CD"/>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3509"/>
    <w:rsid w:val="00545DB8"/>
    <w:rsid w:val="00547F61"/>
    <w:rsid w:val="0055150E"/>
    <w:rsid w:val="00551646"/>
    <w:rsid w:val="00553983"/>
    <w:rsid w:val="00553B7B"/>
    <w:rsid w:val="0055469E"/>
    <w:rsid w:val="00554F55"/>
    <w:rsid w:val="00555A33"/>
    <w:rsid w:val="00555E9F"/>
    <w:rsid w:val="00557745"/>
    <w:rsid w:val="00557F8D"/>
    <w:rsid w:val="00561415"/>
    <w:rsid w:val="00561FE4"/>
    <w:rsid w:val="005623E5"/>
    <w:rsid w:val="00567A92"/>
    <w:rsid w:val="00581BAA"/>
    <w:rsid w:val="00584256"/>
    <w:rsid w:val="00590BBD"/>
    <w:rsid w:val="00591877"/>
    <w:rsid w:val="005935B9"/>
    <w:rsid w:val="00597DE3"/>
    <w:rsid w:val="005A0484"/>
    <w:rsid w:val="005A4BC8"/>
    <w:rsid w:val="005A6A6E"/>
    <w:rsid w:val="005A7267"/>
    <w:rsid w:val="005A7547"/>
    <w:rsid w:val="005B00AA"/>
    <w:rsid w:val="005B3713"/>
    <w:rsid w:val="005B4953"/>
    <w:rsid w:val="005B4C6B"/>
    <w:rsid w:val="005B7DA2"/>
    <w:rsid w:val="005C1E3B"/>
    <w:rsid w:val="005C25F3"/>
    <w:rsid w:val="005C2909"/>
    <w:rsid w:val="005C2BEF"/>
    <w:rsid w:val="005C2E07"/>
    <w:rsid w:val="005C3683"/>
    <w:rsid w:val="005C43BE"/>
    <w:rsid w:val="005C597A"/>
    <w:rsid w:val="005C7264"/>
    <w:rsid w:val="005D1B10"/>
    <w:rsid w:val="005D22C7"/>
    <w:rsid w:val="005D2C4A"/>
    <w:rsid w:val="005D2C8C"/>
    <w:rsid w:val="005D3818"/>
    <w:rsid w:val="005D4ABB"/>
    <w:rsid w:val="005D4D94"/>
    <w:rsid w:val="005D6020"/>
    <w:rsid w:val="005E0156"/>
    <w:rsid w:val="005E27C8"/>
    <w:rsid w:val="005F0604"/>
    <w:rsid w:val="005F1BCD"/>
    <w:rsid w:val="005F2122"/>
    <w:rsid w:val="005F2984"/>
    <w:rsid w:val="005F5A3F"/>
    <w:rsid w:val="005F5AC7"/>
    <w:rsid w:val="005F687B"/>
    <w:rsid w:val="005F7577"/>
    <w:rsid w:val="006007C3"/>
    <w:rsid w:val="0060120E"/>
    <w:rsid w:val="00601F02"/>
    <w:rsid w:val="00604089"/>
    <w:rsid w:val="0060547D"/>
    <w:rsid w:val="00610917"/>
    <w:rsid w:val="006119D3"/>
    <w:rsid w:val="00611FDA"/>
    <w:rsid w:val="006134B0"/>
    <w:rsid w:val="00613D98"/>
    <w:rsid w:val="00614923"/>
    <w:rsid w:val="0061556E"/>
    <w:rsid w:val="006160CA"/>
    <w:rsid w:val="00616547"/>
    <w:rsid w:val="006176D7"/>
    <w:rsid w:val="006201EC"/>
    <w:rsid w:val="006209DF"/>
    <w:rsid w:val="00622E64"/>
    <w:rsid w:val="00623823"/>
    <w:rsid w:val="00623B19"/>
    <w:rsid w:val="00632781"/>
    <w:rsid w:val="006357D8"/>
    <w:rsid w:val="0063741B"/>
    <w:rsid w:val="00640252"/>
    <w:rsid w:val="00641165"/>
    <w:rsid w:val="00646CC2"/>
    <w:rsid w:val="00646D0E"/>
    <w:rsid w:val="00650145"/>
    <w:rsid w:val="006542BC"/>
    <w:rsid w:val="0065500A"/>
    <w:rsid w:val="006570CC"/>
    <w:rsid w:val="0066011A"/>
    <w:rsid w:val="006602FE"/>
    <w:rsid w:val="00662EB5"/>
    <w:rsid w:val="00664432"/>
    <w:rsid w:val="00667AC4"/>
    <w:rsid w:val="00671240"/>
    <w:rsid w:val="00674322"/>
    <w:rsid w:val="00674D60"/>
    <w:rsid w:val="006752D3"/>
    <w:rsid w:val="0067757A"/>
    <w:rsid w:val="00677D36"/>
    <w:rsid w:val="00680D48"/>
    <w:rsid w:val="00680F70"/>
    <w:rsid w:val="00681D55"/>
    <w:rsid w:val="00682786"/>
    <w:rsid w:val="00685102"/>
    <w:rsid w:val="006858AD"/>
    <w:rsid w:val="00690F7E"/>
    <w:rsid w:val="00691B93"/>
    <w:rsid w:val="006941A3"/>
    <w:rsid w:val="0069640B"/>
    <w:rsid w:val="0069747B"/>
    <w:rsid w:val="00697912"/>
    <w:rsid w:val="006A020D"/>
    <w:rsid w:val="006A320A"/>
    <w:rsid w:val="006A3374"/>
    <w:rsid w:val="006A5177"/>
    <w:rsid w:val="006A788B"/>
    <w:rsid w:val="006B1B00"/>
    <w:rsid w:val="006B240D"/>
    <w:rsid w:val="006B3378"/>
    <w:rsid w:val="006B3D8F"/>
    <w:rsid w:val="006C3933"/>
    <w:rsid w:val="006C3FA6"/>
    <w:rsid w:val="006C4713"/>
    <w:rsid w:val="006C78AA"/>
    <w:rsid w:val="006D2189"/>
    <w:rsid w:val="006D280A"/>
    <w:rsid w:val="006D3711"/>
    <w:rsid w:val="006D4BDA"/>
    <w:rsid w:val="006D4F75"/>
    <w:rsid w:val="006D5D13"/>
    <w:rsid w:val="006E37E8"/>
    <w:rsid w:val="006E3925"/>
    <w:rsid w:val="006E470A"/>
    <w:rsid w:val="006E4CBA"/>
    <w:rsid w:val="006F01BB"/>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3268"/>
    <w:rsid w:val="007177A1"/>
    <w:rsid w:val="00720576"/>
    <w:rsid w:val="00720CC5"/>
    <w:rsid w:val="0072420C"/>
    <w:rsid w:val="00724B22"/>
    <w:rsid w:val="00727867"/>
    <w:rsid w:val="00727DD2"/>
    <w:rsid w:val="00730717"/>
    <w:rsid w:val="007326E6"/>
    <w:rsid w:val="00732B87"/>
    <w:rsid w:val="007344FE"/>
    <w:rsid w:val="00734E87"/>
    <w:rsid w:val="00734FB5"/>
    <w:rsid w:val="00735E6B"/>
    <w:rsid w:val="00736A04"/>
    <w:rsid w:val="00737A51"/>
    <w:rsid w:val="007409B6"/>
    <w:rsid w:val="00740B6F"/>
    <w:rsid w:val="00740D5B"/>
    <w:rsid w:val="0074478D"/>
    <w:rsid w:val="00744DA5"/>
    <w:rsid w:val="00745ED4"/>
    <w:rsid w:val="0074700B"/>
    <w:rsid w:val="007476EE"/>
    <w:rsid w:val="00750F91"/>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931"/>
    <w:rsid w:val="00783713"/>
    <w:rsid w:val="007868BA"/>
    <w:rsid w:val="00787F2B"/>
    <w:rsid w:val="00792307"/>
    <w:rsid w:val="00794AF9"/>
    <w:rsid w:val="00795AF3"/>
    <w:rsid w:val="0079693B"/>
    <w:rsid w:val="007A385E"/>
    <w:rsid w:val="007A38CB"/>
    <w:rsid w:val="007A554B"/>
    <w:rsid w:val="007B1CEE"/>
    <w:rsid w:val="007B3272"/>
    <w:rsid w:val="007B69EF"/>
    <w:rsid w:val="007B6C4C"/>
    <w:rsid w:val="007B7905"/>
    <w:rsid w:val="007C35A5"/>
    <w:rsid w:val="007C4507"/>
    <w:rsid w:val="007C5188"/>
    <w:rsid w:val="007C725E"/>
    <w:rsid w:val="007C7EA7"/>
    <w:rsid w:val="007C7FD5"/>
    <w:rsid w:val="007D5EEB"/>
    <w:rsid w:val="007D66BE"/>
    <w:rsid w:val="007E2586"/>
    <w:rsid w:val="007E31C4"/>
    <w:rsid w:val="007E55F2"/>
    <w:rsid w:val="007E5C01"/>
    <w:rsid w:val="007E5FAB"/>
    <w:rsid w:val="007E6DFA"/>
    <w:rsid w:val="007F00E7"/>
    <w:rsid w:val="007F1304"/>
    <w:rsid w:val="007F359B"/>
    <w:rsid w:val="007F3A3D"/>
    <w:rsid w:val="007F565F"/>
    <w:rsid w:val="0080254B"/>
    <w:rsid w:val="00802941"/>
    <w:rsid w:val="00804F2F"/>
    <w:rsid w:val="008050E9"/>
    <w:rsid w:val="008152CA"/>
    <w:rsid w:val="00821639"/>
    <w:rsid w:val="00825B00"/>
    <w:rsid w:val="0082777C"/>
    <w:rsid w:val="008312D3"/>
    <w:rsid w:val="00831636"/>
    <w:rsid w:val="00833155"/>
    <w:rsid w:val="00836F88"/>
    <w:rsid w:val="008377DE"/>
    <w:rsid w:val="00837D43"/>
    <w:rsid w:val="0084170E"/>
    <w:rsid w:val="008430F9"/>
    <w:rsid w:val="008456A6"/>
    <w:rsid w:val="00846AE7"/>
    <w:rsid w:val="00850B2F"/>
    <w:rsid w:val="00852B52"/>
    <w:rsid w:val="00854B94"/>
    <w:rsid w:val="00855E47"/>
    <w:rsid w:val="00861622"/>
    <w:rsid w:val="008628DA"/>
    <w:rsid w:val="00863D84"/>
    <w:rsid w:val="00863FCC"/>
    <w:rsid w:val="00864E71"/>
    <w:rsid w:val="00865028"/>
    <w:rsid w:val="008702F0"/>
    <w:rsid w:val="00870ED7"/>
    <w:rsid w:val="008715F3"/>
    <w:rsid w:val="008745DA"/>
    <w:rsid w:val="00875428"/>
    <w:rsid w:val="00876C52"/>
    <w:rsid w:val="00880C64"/>
    <w:rsid w:val="0088146A"/>
    <w:rsid w:val="00881CA5"/>
    <w:rsid w:val="008820DD"/>
    <w:rsid w:val="008828BB"/>
    <w:rsid w:val="00883768"/>
    <w:rsid w:val="00884059"/>
    <w:rsid w:val="00885365"/>
    <w:rsid w:val="00885542"/>
    <w:rsid w:val="008869D5"/>
    <w:rsid w:val="00886F17"/>
    <w:rsid w:val="00887BB5"/>
    <w:rsid w:val="00891AFD"/>
    <w:rsid w:val="00891BE0"/>
    <w:rsid w:val="008931F5"/>
    <w:rsid w:val="00897CD5"/>
    <w:rsid w:val="008A1A7D"/>
    <w:rsid w:val="008A263F"/>
    <w:rsid w:val="008A3552"/>
    <w:rsid w:val="008A5078"/>
    <w:rsid w:val="008A6C2F"/>
    <w:rsid w:val="008A792B"/>
    <w:rsid w:val="008A7CC3"/>
    <w:rsid w:val="008B14C7"/>
    <w:rsid w:val="008B2D65"/>
    <w:rsid w:val="008B400F"/>
    <w:rsid w:val="008B4CDD"/>
    <w:rsid w:val="008B6B5B"/>
    <w:rsid w:val="008B7463"/>
    <w:rsid w:val="008B7C18"/>
    <w:rsid w:val="008C0B09"/>
    <w:rsid w:val="008C1248"/>
    <w:rsid w:val="008C37A7"/>
    <w:rsid w:val="008C3A4C"/>
    <w:rsid w:val="008C40D1"/>
    <w:rsid w:val="008C4F91"/>
    <w:rsid w:val="008D2C3C"/>
    <w:rsid w:val="008D2F2F"/>
    <w:rsid w:val="008D319B"/>
    <w:rsid w:val="008D3B07"/>
    <w:rsid w:val="008D46B8"/>
    <w:rsid w:val="008D506C"/>
    <w:rsid w:val="008E0415"/>
    <w:rsid w:val="008E05D9"/>
    <w:rsid w:val="008E29A7"/>
    <w:rsid w:val="008E7758"/>
    <w:rsid w:val="008F04AE"/>
    <w:rsid w:val="00901200"/>
    <w:rsid w:val="00901904"/>
    <w:rsid w:val="00901B90"/>
    <w:rsid w:val="00901C22"/>
    <w:rsid w:val="0090275E"/>
    <w:rsid w:val="009053C8"/>
    <w:rsid w:val="00910551"/>
    <w:rsid w:val="00911A7B"/>
    <w:rsid w:val="0091210C"/>
    <w:rsid w:val="00915682"/>
    <w:rsid w:val="00915EE3"/>
    <w:rsid w:val="00916E29"/>
    <w:rsid w:val="00921C3D"/>
    <w:rsid w:val="00923086"/>
    <w:rsid w:val="009237BF"/>
    <w:rsid w:val="009256FF"/>
    <w:rsid w:val="00930A00"/>
    <w:rsid w:val="009324A2"/>
    <w:rsid w:val="009326F5"/>
    <w:rsid w:val="00933194"/>
    <w:rsid w:val="00934FBF"/>
    <w:rsid w:val="00936BD2"/>
    <w:rsid w:val="00937620"/>
    <w:rsid w:val="00937702"/>
    <w:rsid w:val="00937AD5"/>
    <w:rsid w:val="0094048D"/>
    <w:rsid w:val="009406AB"/>
    <w:rsid w:val="00942DF0"/>
    <w:rsid w:val="00946558"/>
    <w:rsid w:val="0095330A"/>
    <w:rsid w:val="00956F97"/>
    <w:rsid w:val="00957043"/>
    <w:rsid w:val="00960E9E"/>
    <w:rsid w:val="00961302"/>
    <w:rsid w:val="009617CF"/>
    <w:rsid w:val="00963A9B"/>
    <w:rsid w:val="009648D2"/>
    <w:rsid w:val="00971067"/>
    <w:rsid w:val="00971CD8"/>
    <w:rsid w:val="00971D3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404"/>
    <w:rsid w:val="009B6704"/>
    <w:rsid w:val="009C5807"/>
    <w:rsid w:val="009D15CC"/>
    <w:rsid w:val="009D181A"/>
    <w:rsid w:val="009D1848"/>
    <w:rsid w:val="009D2054"/>
    <w:rsid w:val="009D2AEA"/>
    <w:rsid w:val="009D2DFC"/>
    <w:rsid w:val="009D3FD3"/>
    <w:rsid w:val="009D5653"/>
    <w:rsid w:val="009D7026"/>
    <w:rsid w:val="009D7B9F"/>
    <w:rsid w:val="009E0617"/>
    <w:rsid w:val="009E1EB5"/>
    <w:rsid w:val="009E30D5"/>
    <w:rsid w:val="009E335A"/>
    <w:rsid w:val="009E4281"/>
    <w:rsid w:val="009E4C60"/>
    <w:rsid w:val="009E77DF"/>
    <w:rsid w:val="009F0B74"/>
    <w:rsid w:val="009F1E01"/>
    <w:rsid w:val="009F1ED0"/>
    <w:rsid w:val="00A0008F"/>
    <w:rsid w:val="00A00497"/>
    <w:rsid w:val="00A00674"/>
    <w:rsid w:val="00A007AF"/>
    <w:rsid w:val="00A02B8E"/>
    <w:rsid w:val="00A057B8"/>
    <w:rsid w:val="00A138AB"/>
    <w:rsid w:val="00A13AEE"/>
    <w:rsid w:val="00A1439F"/>
    <w:rsid w:val="00A16C56"/>
    <w:rsid w:val="00A16CC5"/>
    <w:rsid w:val="00A16FE2"/>
    <w:rsid w:val="00A22586"/>
    <w:rsid w:val="00A23B60"/>
    <w:rsid w:val="00A25397"/>
    <w:rsid w:val="00A26EF5"/>
    <w:rsid w:val="00A27F38"/>
    <w:rsid w:val="00A3110C"/>
    <w:rsid w:val="00A318B0"/>
    <w:rsid w:val="00A31B5B"/>
    <w:rsid w:val="00A32CE4"/>
    <w:rsid w:val="00A3391C"/>
    <w:rsid w:val="00A34466"/>
    <w:rsid w:val="00A34B94"/>
    <w:rsid w:val="00A34F56"/>
    <w:rsid w:val="00A35087"/>
    <w:rsid w:val="00A365C3"/>
    <w:rsid w:val="00A3664B"/>
    <w:rsid w:val="00A37A63"/>
    <w:rsid w:val="00A40156"/>
    <w:rsid w:val="00A40BAD"/>
    <w:rsid w:val="00A45613"/>
    <w:rsid w:val="00A4587D"/>
    <w:rsid w:val="00A466AE"/>
    <w:rsid w:val="00A47375"/>
    <w:rsid w:val="00A47968"/>
    <w:rsid w:val="00A56A24"/>
    <w:rsid w:val="00A60F9B"/>
    <w:rsid w:val="00A61098"/>
    <w:rsid w:val="00A6152E"/>
    <w:rsid w:val="00A63152"/>
    <w:rsid w:val="00A65619"/>
    <w:rsid w:val="00A65F39"/>
    <w:rsid w:val="00A73983"/>
    <w:rsid w:val="00A74363"/>
    <w:rsid w:val="00A811B6"/>
    <w:rsid w:val="00A84494"/>
    <w:rsid w:val="00A87B73"/>
    <w:rsid w:val="00A90AAB"/>
    <w:rsid w:val="00A910E6"/>
    <w:rsid w:val="00A92850"/>
    <w:rsid w:val="00A93E19"/>
    <w:rsid w:val="00AA04F1"/>
    <w:rsid w:val="00AA330C"/>
    <w:rsid w:val="00AA6700"/>
    <w:rsid w:val="00AB0FA9"/>
    <w:rsid w:val="00AB10AD"/>
    <w:rsid w:val="00AB12CA"/>
    <w:rsid w:val="00AB1A2D"/>
    <w:rsid w:val="00AB2052"/>
    <w:rsid w:val="00AB320B"/>
    <w:rsid w:val="00AB3BE4"/>
    <w:rsid w:val="00AB4E7C"/>
    <w:rsid w:val="00AB628C"/>
    <w:rsid w:val="00AB7060"/>
    <w:rsid w:val="00AC1C9B"/>
    <w:rsid w:val="00AC22A0"/>
    <w:rsid w:val="00AC282D"/>
    <w:rsid w:val="00AC369D"/>
    <w:rsid w:val="00AC39F3"/>
    <w:rsid w:val="00AC55A1"/>
    <w:rsid w:val="00AC599C"/>
    <w:rsid w:val="00AC601B"/>
    <w:rsid w:val="00AC6751"/>
    <w:rsid w:val="00AC6F3E"/>
    <w:rsid w:val="00AD00F0"/>
    <w:rsid w:val="00AD0317"/>
    <w:rsid w:val="00AD031D"/>
    <w:rsid w:val="00AD1A1F"/>
    <w:rsid w:val="00AD3C39"/>
    <w:rsid w:val="00AD693A"/>
    <w:rsid w:val="00AD76F8"/>
    <w:rsid w:val="00AE1A02"/>
    <w:rsid w:val="00AE25E5"/>
    <w:rsid w:val="00AE2B68"/>
    <w:rsid w:val="00AE3098"/>
    <w:rsid w:val="00AE3E10"/>
    <w:rsid w:val="00AE5900"/>
    <w:rsid w:val="00AE761C"/>
    <w:rsid w:val="00AF111C"/>
    <w:rsid w:val="00AF1B02"/>
    <w:rsid w:val="00AF4206"/>
    <w:rsid w:val="00AF5420"/>
    <w:rsid w:val="00AF57E8"/>
    <w:rsid w:val="00AF5E8E"/>
    <w:rsid w:val="00AF6E19"/>
    <w:rsid w:val="00B02806"/>
    <w:rsid w:val="00B039DD"/>
    <w:rsid w:val="00B05C88"/>
    <w:rsid w:val="00B05E95"/>
    <w:rsid w:val="00B06A19"/>
    <w:rsid w:val="00B107DB"/>
    <w:rsid w:val="00B10BEA"/>
    <w:rsid w:val="00B13312"/>
    <w:rsid w:val="00B137E3"/>
    <w:rsid w:val="00B15AA9"/>
    <w:rsid w:val="00B15E26"/>
    <w:rsid w:val="00B172B0"/>
    <w:rsid w:val="00B220FA"/>
    <w:rsid w:val="00B222F0"/>
    <w:rsid w:val="00B24706"/>
    <w:rsid w:val="00B268F9"/>
    <w:rsid w:val="00B3047C"/>
    <w:rsid w:val="00B309F9"/>
    <w:rsid w:val="00B32702"/>
    <w:rsid w:val="00B3292E"/>
    <w:rsid w:val="00B33611"/>
    <w:rsid w:val="00B34ECB"/>
    <w:rsid w:val="00B35EAD"/>
    <w:rsid w:val="00B37516"/>
    <w:rsid w:val="00B45F98"/>
    <w:rsid w:val="00B46021"/>
    <w:rsid w:val="00B462C0"/>
    <w:rsid w:val="00B47547"/>
    <w:rsid w:val="00B507D8"/>
    <w:rsid w:val="00B54DF4"/>
    <w:rsid w:val="00B56530"/>
    <w:rsid w:val="00B6371C"/>
    <w:rsid w:val="00B6575B"/>
    <w:rsid w:val="00B666DA"/>
    <w:rsid w:val="00B67482"/>
    <w:rsid w:val="00B703F2"/>
    <w:rsid w:val="00B7049D"/>
    <w:rsid w:val="00B71153"/>
    <w:rsid w:val="00B73D5B"/>
    <w:rsid w:val="00B7404A"/>
    <w:rsid w:val="00B75ECC"/>
    <w:rsid w:val="00B774EE"/>
    <w:rsid w:val="00B8355E"/>
    <w:rsid w:val="00B83D1C"/>
    <w:rsid w:val="00B83D9D"/>
    <w:rsid w:val="00B840E0"/>
    <w:rsid w:val="00B8498F"/>
    <w:rsid w:val="00B85D78"/>
    <w:rsid w:val="00B867A4"/>
    <w:rsid w:val="00B90A90"/>
    <w:rsid w:val="00B919D0"/>
    <w:rsid w:val="00B9244E"/>
    <w:rsid w:val="00B92FF3"/>
    <w:rsid w:val="00B945C0"/>
    <w:rsid w:val="00B945E3"/>
    <w:rsid w:val="00B9607A"/>
    <w:rsid w:val="00B9627C"/>
    <w:rsid w:val="00BA17D2"/>
    <w:rsid w:val="00BA1BBE"/>
    <w:rsid w:val="00BA30A9"/>
    <w:rsid w:val="00BA49B5"/>
    <w:rsid w:val="00BA4CE8"/>
    <w:rsid w:val="00BA5591"/>
    <w:rsid w:val="00BA5A46"/>
    <w:rsid w:val="00BA6143"/>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480E"/>
    <w:rsid w:val="00BC636E"/>
    <w:rsid w:val="00BC6372"/>
    <w:rsid w:val="00BC66A0"/>
    <w:rsid w:val="00BC7581"/>
    <w:rsid w:val="00BD04ED"/>
    <w:rsid w:val="00BD0689"/>
    <w:rsid w:val="00BD0A1A"/>
    <w:rsid w:val="00BD133C"/>
    <w:rsid w:val="00BD1802"/>
    <w:rsid w:val="00BD27A7"/>
    <w:rsid w:val="00BD2BB8"/>
    <w:rsid w:val="00BD37B4"/>
    <w:rsid w:val="00BD3FB8"/>
    <w:rsid w:val="00BD546E"/>
    <w:rsid w:val="00BD7B1A"/>
    <w:rsid w:val="00BE284A"/>
    <w:rsid w:val="00BE34F5"/>
    <w:rsid w:val="00BE5442"/>
    <w:rsid w:val="00BE649D"/>
    <w:rsid w:val="00BE780F"/>
    <w:rsid w:val="00BF0595"/>
    <w:rsid w:val="00BF255C"/>
    <w:rsid w:val="00BF27EE"/>
    <w:rsid w:val="00BF2A2D"/>
    <w:rsid w:val="00BF2D6D"/>
    <w:rsid w:val="00BF5C09"/>
    <w:rsid w:val="00BF6329"/>
    <w:rsid w:val="00BF6F8A"/>
    <w:rsid w:val="00BF70C8"/>
    <w:rsid w:val="00BF746F"/>
    <w:rsid w:val="00BF7831"/>
    <w:rsid w:val="00C02BE9"/>
    <w:rsid w:val="00C05107"/>
    <w:rsid w:val="00C05A95"/>
    <w:rsid w:val="00C067C9"/>
    <w:rsid w:val="00C101D1"/>
    <w:rsid w:val="00C15354"/>
    <w:rsid w:val="00C17A86"/>
    <w:rsid w:val="00C35168"/>
    <w:rsid w:val="00C351DB"/>
    <w:rsid w:val="00C36626"/>
    <w:rsid w:val="00C41F9A"/>
    <w:rsid w:val="00C4239D"/>
    <w:rsid w:val="00C4283E"/>
    <w:rsid w:val="00C432F0"/>
    <w:rsid w:val="00C46C71"/>
    <w:rsid w:val="00C47DD4"/>
    <w:rsid w:val="00C511BE"/>
    <w:rsid w:val="00C5182E"/>
    <w:rsid w:val="00C52C93"/>
    <w:rsid w:val="00C54B2B"/>
    <w:rsid w:val="00C56C7E"/>
    <w:rsid w:val="00C6135E"/>
    <w:rsid w:val="00C65F69"/>
    <w:rsid w:val="00C66489"/>
    <w:rsid w:val="00C70E70"/>
    <w:rsid w:val="00C7285C"/>
    <w:rsid w:val="00C76F68"/>
    <w:rsid w:val="00C80050"/>
    <w:rsid w:val="00C80381"/>
    <w:rsid w:val="00C80AC7"/>
    <w:rsid w:val="00C81223"/>
    <w:rsid w:val="00C819F5"/>
    <w:rsid w:val="00C82FA9"/>
    <w:rsid w:val="00C83615"/>
    <w:rsid w:val="00C83900"/>
    <w:rsid w:val="00C83BFB"/>
    <w:rsid w:val="00C84E2E"/>
    <w:rsid w:val="00C8543F"/>
    <w:rsid w:val="00C85A7C"/>
    <w:rsid w:val="00C866D2"/>
    <w:rsid w:val="00C900FD"/>
    <w:rsid w:val="00C90FE8"/>
    <w:rsid w:val="00C9222B"/>
    <w:rsid w:val="00C929A0"/>
    <w:rsid w:val="00C96E0C"/>
    <w:rsid w:val="00CA0CC6"/>
    <w:rsid w:val="00CA4DB2"/>
    <w:rsid w:val="00CA6E50"/>
    <w:rsid w:val="00CA7327"/>
    <w:rsid w:val="00CA79B6"/>
    <w:rsid w:val="00CB0AB5"/>
    <w:rsid w:val="00CB1507"/>
    <w:rsid w:val="00CB4758"/>
    <w:rsid w:val="00CB54EC"/>
    <w:rsid w:val="00CB6740"/>
    <w:rsid w:val="00CB67C0"/>
    <w:rsid w:val="00CB6C1D"/>
    <w:rsid w:val="00CB7A96"/>
    <w:rsid w:val="00CC2081"/>
    <w:rsid w:val="00CC279B"/>
    <w:rsid w:val="00CC3AA6"/>
    <w:rsid w:val="00CD0FBE"/>
    <w:rsid w:val="00CD3DBC"/>
    <w:rsid w:val="00CD6303"/>
    <w:rsid w:val="00CD6D33"/>
    <w:rsid w:val="00CD6FE8"/>
    <w:rsid w:val="00CD706E"/>
    <w:rsid w:val="00CE0843"/>
    <w:rsid w:val="00CE2CCC"/>
    <w:rsid w:val="00CE489A"/>
    <w:rsid w:val="00CE4929"/>
    <w:rsid w:val="00CE4987"/>
    <w:rsid w:val="00CE55A4"/>
    <w:rsid w:val="00CE6FDC"/>
    <w:rsid w:val="00CF021D"/>
    <w:rsid w:val="00CF4C23"/>
    <w:rsid w:val="00CF4C8D"/>
    <w:rsid w:val="00CF5B1B"/>
    <w:rsid w:val="00CF5BF6"/>
    <w:rsid w:val="00CF5DCE"/>
    <w:rsid w:val="00D019C2"/>
    <w:rsid w:val="00D02029"/>
    <w:rsid w:val="00D02B6B"/>
    <w:rsid w:val="00D06691"/>
    <w:rsid w:val="00D066BF"/>
    <w:rsid w:val="00D20F42"/>
    <w:rsid w:val="00D21B71"/>
    <w:rsid w:val="00D22A50"/>
    <w:rsid w:val="00D237FA"/>
    <w:rsid w:val="00D24FA9"/>
    <w:rsid w:val="00D26782"/>
    <w:rsid w:val="00D27324"/>
    <w:rsid w:val="00D2742D"/>
    <w:rsid w:val="00D301C0"/>
    <w:rsid w:val="00D336E4"/>
    <w:rsid w:val="00D341AE"/>
    <w:rsid w:val="00D35E48"/>
    <w:rsid w:val="00D41241"/>
    <w:rsid w:val="00D43203"/>
    <w:rsid w:val="00D43359"/>
    <w:rsid w:val="00D5077D"/>
    <w:rsid w:val="00D51F96"/>
    <w:rsid w:val="00D527BD"/>
    <w:rsid w:val="00D5295A"/>
    <w:rsid w:val="00D55BC4"/>
    <w:rsid w:val="00D56547"/>
    <w:rsid w:val="00D6022E"/>
    <w:rsid w:val="00D60C11"/>
    <w:rsid w:val="00D61C8A"/>
    <w:rsid w:val="00D61F20"/>
    <w:rsid w:val="00D66CEB"/>
    <w:rsid w:val="00D72C00"/>
    <w:rsid w:val="00D72C30"/>
    <w:rsid w:val="00D76568"/>
    <w:rsid w:val="00D76DF9"/>
    <w:rsid w:val="00D802B0"/>
    <w:rsid w:val="00D82F64"/>
    <w:rsid w:val="00D854D8"/>
    <w:rsid w:val="00D91E2C"/>
    <w:rsid w:val="00D922DC"/>
    <w:rsid w:val="00D92EA7"/>
    <w:rsid w:val="00D92F0C"/>
    <w:rsid w:val="00D954C7"/>
    <w:rsid w:val="00D977F2"/>
    <w:rsid w:val="00DA28B3"/>
    <w:rsid w:val="00DB00C2"/>
    <w:rsid w:val="00DB31C1"/>
    <w:rsid w:val="00DB4C04"/>
    <w:rsid w:val="00DB5B2A"/>
    <w:rsid w:val="00DB628F"/>
    <w:rsid w:val="00DB7620"/>
    <w:rsid w:val="00DC1ACE"/>
    <w:rsid w:val="00DC2873"/>
    <w:rsid w:val="00DC3BCB"/>
    <w:rsid w:val="00DC5BFE"/>
    <w:rsid w:val="00DC5F23"/>
    <w:rsid w:val="00DC6BEF"/>
    <w:rsid w:val="00DC7E91"/>
    <w:rsid w:val="00DD0146"/>
    <w:rsid w:val="00DD0EF7"/>
    <w:rsid w:val="00DD0F2F"/>
    <w:rsid w:val="00DD2EBF"/>
    <w:rsid w:val="00DD4D21"/>
    <w:rsid w:val="00DD4D68"/>
    <w:rsid w:val="00DD7265"/>
    <w:rsid w:val="00DE04CD"/>
    <w:rsid w:val="00DE3058"/>
    <w:rsid w:val="00DE332A"/>
    <w:rsid w:val="00DE3673"/>
    <w:rsid w:val="00DE3B75"/>
    <w:rsid w:val="00DE5DE1"/>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2254E"/>
    <w:rsid w:val="00E238F7"/>
    <w:rsid w:val="00E255CB"/>
    <w:rsid w:val="00E26F40"/>
    <w:rsid w:val="00E32591"/>
    <w:rsid w:val="00E32DD4"/>
    <w:rsid w:val="00E34D42"/>
    <w:rsid w:val="00E3511E"/>
    <w:rsid w:val="00E37656"/>
    <w:rsid w:val="00E3766A"/>
    <w:rsid w:val="00E378DA"/>
    <w:rsid w:val="00E404E1"/>
    <w:rsid w:val="00E443D3"/>
    <w:rsid w:val="00E47D25"/>
    <w:rsid w:val="00E536F6"/>
    <w:rsid w:val="00E53BC5"/>
    <w:rsid w:val="00E60C96"/>
    <w:rsid w:val="00E60FD8"/>
    <w:rsid w:val="00E6246F"/>
    <w:rsid w:val="00E6477B"/>
    <w:rsid w:val="00E657DB"/>
    <w:rsid w:val="00E66800"/>
    <w:rsid w:val="00E66E66"/>
    <w:rsid w:val="00E67113"/>
    <w:rsid w:val="00E769BA"/>
    <w:rsid w:val="00E81FA1"/>
    <w:rsid w:val="00E8278C"/>
    <w:rsid w:val="00E82C96"/>
    <w:rsid w:val="00E84A9A"/>
    <w:rsid w:val="00E94477"/>
    <w:rsid w:val="00E95F38"/>
    <w:rsid w:val="00E96ADC"/>
    <w:rsid w:val="00E97E14"/>
    <w:rsid w:val="00EA0269"/>
    <w:rsid w:val="00EA0DC6"/>
    <w:rsid w:val="00EA1E30"/>
    <w:rsid w:val="00EA5134"/>
    <w:rsid w:val="00EA536D"/>
    <w:rsid w:val="00EB0927"/>
    <w:rsid w:val="00EB39D5"/>
    <w:rsid w:val="00EB413D"/>
    <w:rsid w:val="00EB4947"/>
    <w:rsid w:val="00EB6D0A"/>
    <w:rsid w:val="00EC14EE"/>
    <w:rsid w:val="00EC22E3"/>
    <w:rsid w:val="00EC6563"/>
    <w:rsid w:val="00EC6A98"/>
    <w:rsid w:val="00ED0DDC"/>
    <w:rsid w:val="00EE0120"/>
    <w:rsid w:val="00EE0219"/>
    <w:rsid w:val="00EE0F8B"/>
    <w:rsid w:val="00EE1CA8"/>
    <w:rsid w:val="00EE6647"/>
    <w:rsid w:val="00EE6929"/>
    <w:rsid w:val="00EF0F31"/>
    <w:rsid w:val="00EF2A60"/>
    <w:rsid w:val="00EF4A92"/>
    <w:rsid w:val="00EF50D8"/>
    <w:rsid w:val="00EF581C"/>
    <w:rsid w:val="00EF7442"/>
    <w:rsid w:val="00F01C9C"/>
    <w:rsid w:val="00F029BC"/>
    <w:rsid w:val="00F13E70"/>
    <w:rsid w:val="00F158F7"/>
    <w:rsid w:val="00F15AE2"/>
    <w:rsid w:val="00F1639C"/>
    <w:rsid w:val="00F17218"/>
    <w:rsid w:val="00F1759C"/>
    <w:rsid w:val="00F20352"/>
    <w:rsid w:val="00F24690"/>
    <w:rsid w:val="00F272FF"/>
    <w:rsid w:val="00F31964"/>
    <w:rsid w:val="00F32CE1"/>
    <w:rsid w:val="00F349A9"/>
    <w:rsid w:val="00F34ED1"/>
    <w:rsid w:val="00F35474"/>
    <w:rsid w:val="00F370B3"/>
    <w:rsid w:val="00F37C98"/>
    <w:rsid w:val="00F413EA"/>
    <w:rsid w:val="00F43E77"/>
    <w:rsid w:val="00F443D2"/>
    <w:rsid w:val="00F47BCC"/>
    <w:rsid w:val="00F50DCC"/>
    <w:rsid w:val="00F51DEC"/>
    <w:rsid w:val="00F53224"/>
    <w:rsid w:val="00F562B3"/>
    <w:rsid w:val="00F56381"/>
    <w:rsid w:val="00F57BFC"/>
    <w:rsid w:val="00F6086F"/>
    <w:rsid w:val="00F609B9"/>
    <w:rsid w:val="00F60FB1"/>
    <w:rsid w:val="00F640F0"/>
    <w:rsid w:val="00F662F5"/>
    <w:rsid w:val="00F6664B"/>
    <w:rsid w:val="00F71B9E"/>
    <w:rsid w:val="00F71BC5"/>
    <w:rsid w:val="00F75456"/>
    <w:rsid w:val="00F7601E"/>
    <w:rsid w:val="00F76836"/>
    <w:rsid w:val="00F769EE"/>
    <w:rsid w:val="00F8015F"/>
    <w:rsid w:val="00F803C1"/>
    <w:rsid w:val="00F81C93"/>
    <w:rsid w:val="00F83136"/>
    <w:rsid w:val="00F832F3"/>
    <w:rsid w:val="00F85220"/>
    <w:rsid w:val="00F8666A"/>
    <w:rsid w:val="00F8748A"/>
    <w:rsid w:val="00F87987"/>
    <w:rsid w:val="00F91E76"/>
    <w:rsid w:val="00F96EBC"/>
    <w:rsid w:val="00FA3D80"/>
    <w:rsid w:val="00FA4DEE"/>
    <w:rsid w:val="00FA530B"/>
    <w:rsid w:val="00FA560C"/>
    <w:rsid w:val="00FA6294"/>
    <w:rsid w:val="00FA62F3"/>
    <w:rsid w:val="00FA6CDD"/>
    <w:rsid w:val="00FB0486"/>
    <w:rsid w:val="00FB0DB6"/>
    <w:rsid w:val="00FB34A1"/>
    <w:rsid w:val="00FB3B69"/>
    <w:rsid w:val="00FB524C"/>
    <w:rsid w:val="00FB7C5A"/>
    <w:rsid w:val="00FB7EF1"/>
    <w:rsid w:val="00FC16FC"/>
    <w:rsid w:val="00FC171D"/>
    <w:rsid w:val="00FC2E2F"/>
    <w:rsid w:val="00FC2E36"/>
    <w:rsid w:val="00FC365B"/>
    <w:rsid w:val="00FC4193"/>
    <w:rsid w:val="00FC4199"/>
    <w:rsid w:val="00FC4266"/>
    <w:rsid w:val="00FC4312"/>
    <w:rsid w:val="00FC4940"/>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1F09"/>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B556E8"/>
  <w15:docId w15:val="{16205781-36A9-4D9F-B2AE-F9FE9992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9B6"/>
    <w:pPr>
      <w:tabs>
        <w:tab w:val="left" w:pos="454"/>
      </w:tabs>
      <w:autoSpaceDE w:val="0"/>
      <w:autoSpaceDN w:val="0"/>
      <w:adjustRightInd w:val="0"/>
      <w:spacing w:after="80" w:line="240" w:lineRule="auto"/>
      <w:ind w:firstLine="461"/>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2F5CB4"/>
    <w:pPr>
      <w:numPr>
        <w:numId w:val="17"/>
      </w:numPr>
      <w:spacing w:before="240" w:after="240"/>
      <w:ind w:left="461" w:hanging="461"/>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72420C"/>
    <w:pPr>
      <w:numPr>
        <w:ilvl w:val="1"/>
        <w:numId w:val="17"/>
      </w:numPr>
      <w:spacing w:before="240" w:after="200"/>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72420C"/>
    <w:pPr>
      <w:numPr>
        <w:ilvl w:val="2"/>
        <w:numId w:val="17"/>
      </w:numPr>
      <w:spacing w:before="240" w:after="160"/>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72420C"/>
    <w:pPr>
      <w:numPr>
        <w:ilvl w:val="3"/>
        <w:numId w:val="17"/>
      </w:numPr>
      <w:spacing w:before="240" w:after="120"/>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4F7B88"/>
    <w:pPr>
      <w:keepNext/>
      <w:keepLines/>
      <w:numPr>
        <w:ilvl w:val="4"/>
        <w:numId w:val="17"/>
      </w:numPr>
      <w:spacing w:before="160" w:after="120"/>
      <w:outlineLvl w:val="4"/>
    </w:pPr>
    <w:rPr>
      <w:rFonts w:eastAsiaTheme="majorEastAsia"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6"/>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6"/>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8B7463"/>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8B7463"/>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2F5CB4"/>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72420C"/>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72420C"/>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72420C"/>
    <w:rPr>
      <w:rFonts w:ascii="Calibri" w:eastAsiaTheme="minorEastAsia" w:hAnsi="Calibri" w:cs="Arial"/>
      <w:i/>
      <w:color w:val="4F81BD"/>
      <w:sz w:val="24"/>
      <w14:numForm w14:val="lining"/>
    </w:rPr>
  </w:style>
  <w:style w:type="paragraph" w:styleId="Ttulo">
    <w:name w:val="Title"/>
    <w:aliases w:val="general"/>
    <w:next w:val="Normal"/>
    <w:link w:val="TtuloCar"/>
    <w:uiPriority w:val="10"/>
    <w:qFormat/>
    <w:rsid w:val="00216066"/>
    <w:pPr>
      <w:spacing w:after="0" w:line="240" w:lineRule="auto"/>
      <w:ind w:left="340" w:right="340"/>
    </w:pPr>
    <w:rPr>
      <w:rFonts w:ascii="Calibri" w:eastAsiaTheme="minorEastAsia" w:hAnsi="Calibri" w:cs="Arial"/>
      <w:b/>
      <w:color w:val="000000"/>
      <w:sz w:val="36"/>
      <w:szCs w:val="36"/>
      <w14:numForm w14:val="lining"/>
    </w:rPr>
  </w:style>
  <w:style w:type="character" w:customStyle="1" w:styleId="TtuloCar">
    <w:name w:val="Título Car"/>
    <w:aliases w:val="general Car"/>
    <w:link w:val="Ttulo"/>
    <w:uiPriority w:val="10"/>
    <w:rsid w:val="00216066"/>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9D2054"/>
    <w:pPr>
      <w:tabs>
        <w:tab w:val="clear" w:pos="454"/>
      </w:tabs>
      <w:spacing w:after="0"/>
      <w:ind w:firstLine="0"/>
      <w:jc w:val="left"/>
    </w:pPr>
    <w:rPr>
      <w:rFonts w:eastAsiaTheme="minorHAns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9D2054"/>
    <w:rPr>
      <w:rFonts w:ascii="Calibri Light" w:hAnsi="Calibri Light" w:cs="Arial"/>
      <w:color w:val="000000"/>
      <w:sz w:val="20"/>
      <w:szCs w:val="20"/>
      <w14:numForm w14:val="lining"/>
    </w:rPr>
  </w:style>
  <w:style w:type="paragraph" w:customStyle="1" w:styleId="Tablatotales">
    <w:name w:val="Tabla (totales)"/>
    <w:basedOn w:val="Tablanmeros"/>
    <w:link w:val="TablatotalesCar"/>
    <w:qFormat/>
    <w:rsid w:val="00901200"/>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rsid w:val="007B69EF"/>
    <w:pPr>
      <w:numPr>
        <w:numId w:val="8"/>
      </w:numPr>
      <w:ind w:left="340" w:hanging="340"/>
      <w:contextualSpacing/>
    </w:pPr>
  </w:style>
  <w:style w:type="character" w:customStyle="1" w:styleId="TablatotalesCar">
    <w:name w:val="Tabla (totales) Car"/>
    <w:link w:val="Tablatotales"/>
    <w:rsid w:val="00901200"/>
    <w:rPr>
      <w:rFonts w:cs="Arial"/>
      <w:b/>
      <w:color w:val="000000"/>
      <w:sz w:val="20"/>
      <w:szCs w:val="20"/>
      <w14:numForm w14:val="lining"/>
      <w14:numSpacing w14:val="tabular"/>
    </w:rPr>
  </w:style>
  <w:style w:type="paragraph" w:customStyle="1" w:styleId="Tablacabezasdecolumna">
    <w:name w:val="Tabla (cabezas de columna)"/>
    <w:basedOn w:val="TablaTexto"/>
    <w:link w:val="TablacabezasdecolumnaCar"/>
    <w:qFormat/>
    <w:rsid w:val="009F1ED0"/>
    <w:pPr>
      <w:jc w:val="center"/>
    </w:pPr>
    <w:rPr>
      <w:b/>
      <w:color w:val="4F81BD" w:themeColor="accent1"/>
      <w:sz w:val="19"/>
    </w:rPr>
  </w:style>
  <w:style w:type="character" w:customStyle="1" w:styleId="TablacabezasdecolumnaCar">
    <w:name w:val="Tabla (cabezas de columna) Car"/>
    <w:link w:val="Tablacabezasdecolumna"/>
    <w:rsid w:val="009F1ED0"/>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9256FF"/>
    <w:pPr>
      <w:keepLines/>
      <w:spacing w:before="160" w:after="24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A73983"/>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9256FF"/>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8B7463"/>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8B7463"/>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9F1ED0"/>
    <w:pPr>
      <w:keepNext/>
      <w:spacing w:before="120"/>
      <w:ind w:firstLine="0"/>
      <w:contextualSpacing/>
    </w:pPr>
    <w:rPr>
      <w:sz w:val="18"/>
      <w:szCs w:val="16"/>
    </w:rPr>
  </w:style>
  <w:style w:type="character" w:styleId="nfasissutil">
    <w:name w:val="Subtle Emphasis"/>
    <w:aliases w:val="Cursivas"/>
    <w:uiPriority w:val="19"/>
    <w:qFormat/>
    <w:rsid w:val="00FD1DC5"/>
    <w:rPr>
      <w:rFonts w:ascii="Calibri Light" w:hAnsi="Calibri Light"/>
      <w:b w:val="0"/>
      <w:i/>
      <w:iCs/>
      <w:color w:val="auto"/>
    </w:rPr>
  </w:style>
  <w:style w:type="character" w:customStyle="1" w:styleId="TablaPiesdetablaCar">
    <w:name w:val="Tabla (Pies de tabla) Car"/>
    <w:link w:val="TablaPiesdetabla"/>
    <w:rsid w:val="009F1ED0"/>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8B7463"/>
    <w:pPr>
      <w:spacing w:before="240" w:after="240"/>
      <w:ind w:left="454" w:right="454"/>
    </w:pPr>
    <w:rPr>
      <w:bCs/>
      <w:iCs/>
      <w:color w:val="auto"/>
      <w:sz w:val="20"/>
    </w:rPr>
  </w:style>
  <w:style w:type="character" w:customStyle="1" w:styleId="CitadestacadaCar">
    <w:name w:val="Cita destacada Car"/>
    <w:link w:val="Citadestacada"/>
    <w:uiPriority w:val="30"/>
    <w:rsid w:val="008B7463"/>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A811B6"/>
    <w:rPr>
      <w:sz w:val="20"/>
      <w:szCs w:val="20"/>
    </w:rPr>
  </w:style>
  <w:style w:type="character" w:customStyle="1" w:styleId="TextonotapieCar">
    <w:name w:val="Texto nota pie Car"/>
    <w:link w:val="Textonotapie"/>
    <w:uiPriority w:val="99"/>
    <w:rsid w:val="00A811B6"/>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8B7463"/>
    <w:pPr>
      <w:keepNext/>
      <w:keepLines/>
      <w:widowControl/>
      <w:numPr>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294E67"/>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8B7463"/>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4F7B88"/>
    <w:rPr>
      <w:rFonts w:ascii="Calibri Light" w:eastAsiaTheme="majorEastAsia" w:hAnsi="Calibri Light"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14:numForm w14:val="lining"/>
    </w:rPr>
  </w:style>
  <w:style w:type="character" w:customStyle="1" w:styleId="Ttulo8Car">
    <w:name w:val="Título 8 Car"/>
    <w:link w:val="Ttulo8"/>
    <w:uiPriority w:val="9"/>
    <w:semiHidden/>
    <w:rsid w:val="008B7463"/>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8B7463"/>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5"/>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MetaPro-Normal" w:eastAsiaTheme="minorEastAsia" w:hAnsi="MetaPro-Normal" w:cs="Arial"/>
      <w:color w:val="000000"/>
      <w14:numForm w14:val="lining"/>
    </w:rPr>
  </w:style>
  <w:style w:type="character" w:customStyle="1" w:styleId="Listadon2Car">
    <w:name w:val="Listado n2 Car"/>
    <w:basedOn w:val="PrrafodelistaCar"/>
    <w:link w:val="Listadon2"/>
    <w:rsid w:val="00EF4A92"/>
    <w:rPr>
      <w:rFonts w:ascii="MetaPro-Normal" w:eastAsiaTheme="minorEastAsia" w:hAnsi="MetaPro-Normal" w:cs="Arial"/>
      <w:color w:val="000000"/>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3"/>
      </w:numPr>
    </w:pPr>
  </w:style>
  <w:style w:type="character" w:customStyle="1" w:styleId="Listadoniv2Car">
    <w:name w:val="Listado niv.2 Car"/>
    <w:basedOn w:val="Listadon2Car"/>
    <w:link w:val="Listadoniv2"/>
    <w:rsid w:val="002C385B"/>
    <w:rPr>
      <w:rFonts w:ascii="MetaPro-Normal" w:eastAsiaTheme="minorEastAsia" w:hAnsi="MetaPro-Normal" w:cs="Arial"/>
      <w:color w:val="000000"/>
      <w14:numForm w14:val="lining"/>
    </w:rPr>
  </w:style>
  <w:style w:type="character" w:customStyle="1" w:styleId="ListadoletrasCar">
    <w:name w:val="Listado (letras) Car"/>
    <w:basedOn w:val="PrrafodelistaCar"/>
    <w:link w:val="Listadoletras"/>
    <w:rsid w:val="008F04AE"/>
    <w:rPr>
      <w:rFonts w:ascii="MetaPro-Normal" w:eastAsiaTheme="minorEastAsia" w:hAnsi="MetaPro-Normal" w:cs="Arial"/>
      <w:color w:val="000000"/>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7F3A3D"/>
    <w:pPr>
      <w:tabs>
        <w:tab w:val="clear" w:pos="454"/>
      </w:tabs>
      <w:ind w:firstLine="0"/>
    </w:pPr>
  </w:style>
  <w:style w:type="character" w:customStyle="1" w:styleId="ListadoTexto1Car">
    <w:name w:val="Listado Texto (1) Car"/>
    <w:basedOn w:val="Fuentedeprrafopredeter"/>
    <w:link w:val="ListadoTexto1"/>
    <w:rsid w:val="007F3A3D"/>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CA79B6"/>
    <w:pPr>
      <w:spacing w:after="40"/>
      <w:ind w:right="115"/>
      <w:jc w:val="right"/>
    </w:pPr>
    <w:rPr>
      <w14:numSpacing w14:val="tabular"/>
    </w:rPr>
  </w:style>
  <w:style w:type="character" w:customStyle="1" w:styleId="TablanmerosCar">
    <w:name w:val="Tabla números Car"/>
    <w:basedOn w:val="TablaTextoCar"/>
    <w:link w:val="Tablanmeros"/>
    <w:rsid w:val="00CA79B6"/>
    <w:rPr>
      <w:rFonts w:ascii="Calibri Light" w:hAnsi="Calibri Light" w:cs="Arial"/>
      <w:color w:val="000000"/>
      <w:sz w:val="20"/>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732B87"/>
    <w:pPr>
      <w:keepNext/>
      <w:keepLines/>
      <w:spacing w:before="240" w:after="120"/>
      <w:jc w:val="center"/>
    </w:pPr>
    <w:rPr>
      <w:rFonts w:ascii="Calibri" w:hAnsi="Calibri"/>
      <w:b/>
      <w:sz w:val="22"/>
      <w:lang w:eastAsia="en-US"/>
      <w14:numForm w14:val="lining"/>
    </w:rPr>
  </w:style>
  <w:style w:type="character" w:customStyle="1" w:styleId="TablaTtulotablaCar">
    <w:name w:val="Tabla (Título tabla) Car"/>
    <w:link w:val="TablaTtulotabla"/>
    <w:rsid w:val="00732B87"/>
    <w:rPr>
      <w:rFonts w:ascii="Calibri" w:eastAsiaTheme="minorEastAsia" w:hAnsi="Calibri" w:cs="Arial"/>
      <w:b/>
      <w:color w:val="000000"/>
      <w:szCs w:val="24"/>
      <w14:numForm w14:val="lining"/>
    </w:rPr>
  </w:style>
  <w:style w:type="paragraph" w:customStyle="1" w:styleId="Listado2">
    <w:name w:val="Listado 2"/>
    <w:link w:val="Listado2Car"/>
    <w:qFormat/>
    <w:rsid w:val="009256FF"/>
    <w:pPr>
      <w:numPr>
        <w:numId w:val="19"/>
      </w:numPr>
      <w:spacing w:after="0" w:line="240" w:lineRule="auto"/>
      <w:jc w:val="both"/>
    </w:pPr>
    <w:rPr>
      <w:rFonts w:ascii="Calibri Light" w:eastAsiaTheme="minorEastAsia" w:hAnsi="Calibri Light" w:cs="Arial"/>
      <w:color w:val="000000"/>
      <w:sz w:val="24"/>
      <w14:numForm w14:val="lining"/>
    </w:rPr>
  </w:style>
  <w:style w:type="character" w:customStyle="1" w:styleId="Listado2Car">
    <w:name w:val="Listado 2 Car"/>
    <w:basedOn w:val="PrrafodelistaCar"/>
    <w:link w:val="Listado2"/>
    <w:rsid w:val="009256FF"/>
    <w:rPr>
      <w:rFonts w:ascii="Calibri Light" w:eastAsiaTheme="minorEastAsia" w:hAnsi="Calibri Light" w:cs="Arial"/>
      <w:color w:val="000000"/>
      <w:sz w:val="24"/>
      <w14:numForm w14:val="lining"/>
    </w:rPr>
  </w:style>
  <w:style w:type="paragraph" w:customStyle="1" w:styleId="Listado1conbullets">
    <w:name w:val="Listado 1 (con bullets)"/>
    <w:autoRedefine/>
    <w:qFormat/>
    <w:rsid w:val="005C25F3"/>
    <w:pPr>
      <w:numPr>
        <w:numId w:val="11"/>
      </w:numPr>
      <w:spacing w:after="0" w:line="240" w:lineRule="auto"/>
      <w:jc w:val="both"/>
    </w:pPr>
    <w:rPr>
      <w:rFonts w:ascii="Calibri Light" w:eastAsiaTheme="minorEastAsia" w:hAnsi="Calibri Light" w:cs="Arial"/>
      <w:color w:val="000000"/>
      <w:sz w:val="24"/>
      <w14:numForm w14:val="lining"/>
    </w:rPr>
  </w:style>
  <w:style w:type="table" w:customStyle="1" w:styleId="TablasLANCIS">
    <w:name w:val="Tablas LANCIS"/>
    <w:basedOn w:val="Tablanormal"/>
    <w:uiPriority w:val="99"/>
    <w:rsid w:val="00891BE0"/>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aludo">
    <w:name w:val="Salutation"/>
    <w:basedOn w:val="Normal"/>
    <w:next w:val="Normal"/>
    <w:link w:val="SaludoCar"/>
    <w:uiPriority w:val="99"/>
    <w:unhideWhenUsed/>
    <w:rsid w:val="009406AB"/>
  </w:style>
  <w:style w:type="character" w:customStyle="1" w:styleId="SaludoCar">
    <w:name w:val="Saludo Car"/>
    <w:basedOn w:val="Fuentedeprrafopredeter"/>
    <w:link w:val="Saludo"/>
    <w:uiPriority w:val="99"/>
    <w:rsid w:val="009406AB"/>
    <w:rPr>
      <w:rFonts w:ascii="Calibri Light" w:eastAsiaTheme="minorEastAsia" w:hAnsi="Calibri Light" w:cs="Arial"/>
      <w:color w:val="000000"/>
      <w:sz w:val="24"/>
      <w14:numForm w14:val="lining"/>
    </w:rPr>
  </w:style>
  <w:style w:type="paragraph" w:styleId="Sangradetextonormal">
    <w:name w:val="Body Text Indent"/>
    <w:basedOn w:val="Normal"/>
    <w:link w:val="SangradetextonormalCar"/>
    <w:uiPriority w:val="99"/>
    <w:unhideWhenUsed/>
    <w:rsid w:val="009406AB"/>
    <w:pPr>
      <w:spacing w:after="120"/>
      <w:ind w:left="283"/>
    </w:pPr>
  </w:style>
  <w:style w:type="character" w:customStyle="1" w:styleId="SangradetextonormalCar">
    <w:name w:val="Sangría de texto normal Car"/>
    <w:basedOn w:val="Fuentedeprrafopredeter"/>
    <w:link w:val="Sangradetextonormal"/>
    <w:uiPriority w:val="99"/>
    <w:rsid w:val="009406AB"/>
    <w:rPr>
      <w:rFonts w:ascii="Calibri Light" w:eastAsiaTheme="minorEastAsia" w:hAnsi="Calibri Light" w:cs="Arial"/>
      <w:color w:val="000000"/>
      <w:sz w:val="24"/>
      <w14:numForm w14:val="lining"/>
    </w:rPr>
  </w:style>
  <w:style w:type="paragraph" w:styleId="Textoindependiente">
    <w:name w:val="Body Text"/>
    <w:basedOn w:val="Normal"/>
    <w:link w:val="TextoindependienteCar"/>
    <w:uiPriority w:val="99"/>
    <w:semiHidden/>
    <w:unhideWhenUsed/>
    <w:rsid w:val="009406AB"/>
    <w:pPr>
      <w:spacing w:after="120"/>
    </w:pPr>
  </w:style>
  <w:style w:type="character" w:customStyle="1" w:styleId="TextoindependienteCar">
    <w:name w:val="Texto independiente Car"/>
    <w:basedOn w:val="Fuentedeprrafopredeter"/>
    <w:link w:val="Textoindependiente"/>
    <w:uiPriority w:val="99"/>
    <w:semiHidden/>
    <w:rsid w:val="009406AB"/>
    <w:rPr>
      <w:rFonts w:ascii="Calibri Light" w:eastAsiaTheme="minorEastAsia" w:hAnsi="Calibri Light" w:cs="Arial"/>
      <w:color w:val="000000"/>
      <w:sz w:val="24"/>
      <w14:numForm w14:val="lining"/>
    </w:rPr>
  </w:style>
  <w:style w:type="paragraph" w:styleId="Textoindependienteprimerasangra">
    <w:name w:val="Body Text First Indent"/>
    <w:basedOn w:val="Textoindependiente"/>
    <w:link w:val="TextoindependienteprimerasangraCar"/>
    <w:uiPriority w:val="99"/>
    <w:unhideWhenUsed/>
    <w:rsid w:val="009406AB"/>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9406AB"/>
    <w:rPr>
      <w:rFonts w:ascii="Calibri Light" w:eastAsiaTheme="minorEastAsia" w:hAnsi="Calibri Light" w:cs="Arial"/>
      <w:color w:val="000000"/>
      <w:sz w:val="24"/>
      <w14:numForm w14:val="lini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LANCIS)\ORGANIZACION_APC\apc_plantillas\plantillas_informes\plantilla_documentos_cortos_nov202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00F6FC-8258-469F-8FC9-CFCB3CB3947A}">
  <we:reference id="wa104382081" version="1.7.0.0" store="es-ES" storeType="OMEX"/>
  <we:alternateReferences>
    <we:reference id="wa104382081" version="1.7.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65CF-F8DB-49A2-95D8-D5D5E63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plantilla_documentos_cortos_nov2020</Template>
  <TotalTime>0</TotalTime>
  <Pages>8</Pages>
  <Words>15832</Words>
  <Characters>87077</Characters>
  <Application>Microsoft Office Word</Application>
  <DocSecurity>0</DocSecurity>
  <Lines>725</Lines>
  <Paragraphs>205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Dell-E7450</dc:creator>
  <cp:lastModifiedBy>LANCIS UNAM</cp:lastModifiedBy>
  <cp:revision>2</cp:revision>
  <cp:lastPrinted>2014-08-22T21:02:00Z</cp:lastPrinted>
  <dcterms:created xsi:type="dcterms:W3CDTF">2021-06-16T00:55:00Z</dcterms:created>
  <dcterms:modified xsi:type="dcterms:W3CDTF">2021-06-16T00:55:00Z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74837299-f297-3597-b55f-68ea1a184bdc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