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C42D6" w14:textId="239732DF" w:rsidR="00F12A6D" w:rsidRDefault="00F12A6D" w:rsidP="00F12A6D">
      <w:pPr>
        <w:rPr>
          <w:b/>
        </w:rPr>
      </w:pPr>
    </w:p>
    <w:tbl>
      <w:tblPr>
        <w:tblStyle w:val="Sombreadoclaro-nfasis5"/>
        <w:tblW w:w="17849" w:type="dxa"/>
        <w:tblInd w:w="-1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737"/>
        <w:gridCol w:w="3544"/>
        <w:gridCol w:w="5694"/>
        <w:gridCol w:w="2607"/>
        <w:gridCol w:w="2607"/>
      </w:tblGrid>
      <w:tr w:rsidR="00F12A6D" w14:paraId="3C133559" w14:textId="7DCE1496" w:rsidTr="00F12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14:paraId="479CF5C4" w14:textId="77777777" w:rsidR="00F12A6D" w:rsidRDefault="00F12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Apartado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14:paraId="6B8D3AF0" w14:textId="77777777" w:rsidR="00F12A6D" w:rsidRDefault="00F12A6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Subtema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14:paraId="241B081E" w14:textId="77777777" w:rsidR="00F12A6D" w:rsidRDefault="00F12A6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Observaciones</w:t>
            </w:r>
          </w:p>
        </w:tc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65F8AEF5" w14:textId="77777777" w:rsidR="00F12A6D" w:rsidRDefault="00F12A6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105CDF93" w14:textId="77777777" w:rsidR="00F12A6D" w:rsidRDefault="00F12A6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5F9B376" w14:textId="77777777" w:rsidR="00F12A6D" w:rsidRDefault="00F12A6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12A6D" w14:paraId="29B853EA" w14:textId="6766A462" w:rsidTr="00F1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F277FD" w14:textId="77777777" w:rsidR="00F12A6D" w:rsidRDefault="00F12A6D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lang w:eastAsia="es-MX"/>
              </w:rPr>
            </w:pPr>
            <w:r>
              <w:rPr>
                <w:b w:val="0"/>
                <w:bCs w:val="0"/>
                <w:color w:val="auto"/>
                <w:sz w:val="23"/>
                <w:szCs w:val="23"/>
              </w:rPr>
              <w:t>4.2 Diseño y arquitectura del sistema de gestión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F20AE3" w14:textId="77777777" w:rsidR="00F12A6D" w:rsidRDefault="00F12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988878" w14:textId="77777777" w:rsidR="00F12A6D" w:rsidRDefault="00F1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40BB" w14:textId="77777777" w:rsidR="00F12A6D" w:rsidRDefault="00F1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2CCF" w14:textId="77777777" w:rsidR="00F12A6D" w:rsidRDefault="00F1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EA19" w14:textId="77777777" w:rsidR="00F12A6D" w:rsidRDefault="00F1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  <w:tr w:rsidR="00F12A6D" w14:paraId="62528204" w14:textId="3D69A650" w:rsidTr="00F12A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77F633" w14:textId="77777777" w:rsidR="00F12A6D" w:rsidRDefault="00F12A6D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lang w:eastAsia="es-MX"/>
              </w:rPr>
            </w:pPr>
            <w:r>
              <w:rPr>
                <w:b w:val="0"/>
                <w:sz w:val="23"/>
                <w:szCs w:val="23"/>
              </w:rPr>
              <w:t>4.2.1 Especificación de requerimientos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2CD339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02399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rFonts w:ascii="Calibri" w:eastAsia="Times New Roman" w:hAnsi="Calibri" w:cs="Times New Roman"/>
                <w:lang w:eastAsia="es-MX"/>
              </w:rPr>
              <w:t xml:space="preserve">Falta incluir la descripción de la infraestructura tecnológica de hardware mínima requerida para la instalación y operación del sistema. Se describe el requerimiento del funcionamiento del </w:t>
            </w:r>
            <w:proofErr w:type="gramStart"/>
            <w:r>
              <w:rPr>
                <w:rFonts w:ascii="Calibri" w:eastAsia="Times New Roman" w:hAnsi="Calibri" w:cs="Times New Roman"/>
                <w:lang w:eastAsia="es-MX"/>
              </w:rPr>
              <w:t>sistema</w:t>
            </w:r>
            <w:proofErr w:type="gramEnd"/>
            <w:r>
              <w:rPr>
                <w:rFonts w:ascii="Calibri" w:eastAsia="Times New Roman" w:hAnsi="Calibri" w:cs="Times New Roman"/>
                <w:lang w:eastAsia="es-MX"/>
              </w:rPr>
              <w:t xml:space="preserve"> pero no su operación. Es decir, características de los equipos de cómputo (procesador, memoria, pantalla), velocidad de internet, etc. para visualizar las capas de información y consultas.</w:t>
            </w:r>
          </w:p>
        </w:tc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BCCB" w14:textId="77777777" w:rsidR="00525152" w:rsidRDefault="005251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bookmarkStart w:id="0" w:name="_Hlk54704567"/>
            <w:r>
              <w:rPr>
                <w:rFonts w:ascii="Calibri" w:eastAsia="Times New Roman" w:hAnsi="Calibri" w:cs="Times New Roman"/>
                <w:lang w:eastAsia="es-MX"/>
              </w:rPr>
              <w:t xml:space="preserve">Se incluyó una modificación de la sección 4.2.1 para </w:t>
            </w:r>
          </w:p>
          <w:p w14:paraId="59840D64" w14:textId="33EEF8B3" w:rsidR="00AF7141" w:rsidRDefault="005251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rFonts w:ascii="Calibri" w:eastAsia="Times New Roman" w:hAnsi="Calibri" w:cs="Times New Roman"/>
                <w:lang w:eastAsia="es-MX"/>
              </w:rPr>
              <w:t>atender esta observación.</w:t>
            </w:r>
          </w:p>
          <w:p w14:paraId="3C641EC8" w14:textId="67FDA982" w:rsidR="00AF7141" w:rsidRDefault="00AF714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  <w:p w14:paraId="3DF26F09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  <w:bookmarkEnd w:id="0"/>
          <w:p w14:paraId="15FA207A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  <w:p w14:paraId="37578D2F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  <w:p w14:paraId="191E0DD4" w14:textId="332541BC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2B6C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AAEC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  <w:tr w:rsidR="00F12A6D" w14:paraId="78335A94" w14:textId="272CEDA9" w:rsidTr="00F1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52C0B4" w14:textId="77777777" w:rsidR="00F12A6D" w:rsidRDefault="00F12A6D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lang w:eastAsia="es-MX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B7666D" w14:textId="77777777" w:rsidR="00F12A6D" w:rsidRDefault="00F12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color w:val="auto"/>
                <w:sz w:val="20"/>
                <w:szCs w:val="20"/>
              </w:rPr>
              <w:t>4.2.1.1 Alcances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E11D72" w14:textId="77777777" w:rsidR="00F12A6D" w:rsidRDefault="00F1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42A4" w14:textId="77777777" w:rsidR="00F12A6D" w:rsidRDefault="00F1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43AD" w14:textId="77777777" w:rsidR="00F12A6D" w:rsidRDefault="00F1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233B" w14:textId="77777777" w:rsidR="00F12A6D" w:rsidRDefault="00F1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  <w:tr w:rsidR="00F12A6D" w14:paraId="541B506C" w14:textId="5A707C81" w:rsidTr="00F12A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26DA7F" w14:textId="77777777" w:rsidR="00F12A6D" w:rsidRDefault="00F12A6D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lang w:eastAsia="es-MX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99285C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4.2.1.2 Objetivos generales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AE0C50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342F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FC850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8BB7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  <w:tr w:rsidR="00F12A6D" w14:paraId="382FB0A4" w14:textId="6970BF79" w:rsidTr="00F1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E926B6" w14:textId="77777777" w:rsidR="00F12A6D" w:rsidRDefault="00F12A6D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lang w:eastAsia="es-MX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EE80A" w14:textId="77777777" w:rsidR="00F12A6D" w:rsidRDefault="00F12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4.2.1.3 Requerimientos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988BE5" w14:textId="77777777" w:rsidR="00F12A6D" w:rsidRDefault="00F12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Entendiendo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que  las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actividades compatibles y no compatibles están incluidas en los “Criterios de Regulación” (Figura 4.2.1 Capacidades del sistema por usuario).</w:t>
            </w:r>
          </w:p>
          <w:p w14:paraId="6B3B95DF" w14:textId="77777777" w:rsidR="00F12A6D" w:rsidRDefault="00F12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Especificar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que incluyen los términos “Recursos de monitoreo” y “Proyectos”</w:t>
            </w:r>
          </w:p>
          <w:p w14:paraId="67F1895D" w14:textId="77777777" w:rsidR="00F12A6D" w:rsidRDefault="00F12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En “Proyectos” es deseable la posibilidad de consultar los proyectos en trámite y aprobados en el área de influencia., así como los impactos acumulativos relacionados a la UGA.</w:t>
            </w:r>
          </w:p>
        </w:tc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3F9D" w14:textId="77777777" w:rsidR="00525152" w:rsidRDefault="00525152" w:rsidP="005251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Se incluyó las descripciones solicitadas en la sección </w:t>
            </w:r>
          </w:p>
          <w:p w14:paraId="256E768D" w14:textId="0736363C" w:rsidR="002915C6" w:rsidRDefault="00525152" w:rsidP="005251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4.2.1.3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C0CA" w14:textId="77777777" w:rsidR="00F12A6D" w:rsidRDefault="00F12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BE87" w14:textId="77777777" w:rsidR="00F12A6D" w:rsidRDefault="002915C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}</w:t>
            </w:r>
          </w:p>
          <w:p w14:paraId="78DEB662" w14:textId="135A0530" w:rsidR="002915C6" w:rsidRDefault="002915C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12A6D" w14:paraId="06C810DA" w14:textId="1307C5DD" w:rsidTr="00F12A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986716" w14:textId="77777777" w:rsidR="00F12A6D" w:rsidRDefault="00F12A6D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lang w:eastAsia="es-MX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B772DD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sz w:val="20"/>
                <w:szCs w:val="20"/>
              </w:rPr>
              <w:t>4.2.1.4 Beneficios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BE40C7" w14:textId="77777777" w:rsidR="00F12A6D" w:rsidRDefault="00F1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774B" w14:textId="77777777" w:rsidR="00F12A6D" w:rsidRDefault="00F1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4113" w14:textId="77777777" w:rsidR="00F12A6D" w:rsidRDefault="00F1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6506" w14:textId="77777777" w:rsidR="00F12A6D" w:rsidRDefault="00F1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  <w:tr w:rsidR="00F12A6D" w14:paraId="11F64F78" w14:textId="02F4590C" w:rsidTr="00F1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3B26BB" w14:textId="77777777" w:rsidR="00F12A6D" w:rsidRDefault="00F12A6D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lang w:eastAsia="es-MX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499BDE" w14:textId="77777777" w:rsidR="00F12A6D" w:rsidRDefault="00F12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color w:val="auto"/>
                <w:sz w:val="20"/>
                <w:szCs w:val="20"/>
              </w:rPr>
              <w:t>4.2.1.5 Limitaciones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ED5583" w14:textId="77777777" w:rsidR="00F12A6D" w:rsidRDefault="00F12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C7DF" w14:textId="77777777" w:rsidR="00F12A6D" w:rsidRDefault="00F12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9DCA" w14:textId="77777777" w:rsidR="00F12A6D" w:rsidRDefault="00F12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2ED1" w14:textId="77777777" w:rsidR="00F12A6D" w:rsidRDefault="00F12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  <w:tr w:rsidR="00F12A6D" w14:paraId="76C66B5E" w14:textId="38E2D900" w:rsidTr="00F12A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537002" w14:textId="77777777" w:rsidR="00F12A6D" w:rsidRDefault="00F12A6D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lang w:eastAsia="es-MX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CC627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sz w:val="20"/>
                <w:szCs w:val="20"/>
              </w:rPr>
              <w:t>4.2.1.6 Casos de uso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4AC6AC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Incluir la consulta por polígono, o mascara (</w:t>
            </w:r>
            <w:proofErr w:type="spellStart"/>
            <w:r>
              <w:rPr>
                <w:sz w:val="20"/>
                <w:szCs w:val="20"/>
              </w:rPr>
              <w:t>shapefile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proofErr w:type="gramStart"/>
            <w:r>
              <w:rPr>
                <w:sz w:val="20"/>
                <w:szCs w:val="20"/>
              </w:rPr>
              <w:t>kmz</w:t>
            </w:r>
            <w:proofErr w:type="spellEnd"/>
            <w:r>
              <w:rPr>
                <w:sz w:val="20"/>
                <w:szCs w:val="20"/>
              </w:rPr>
              <w:t>)  en</w:t>
            </w:r>
            <w:proofErr w:type="gramEnd"/>
            <w:r>
              <w:rPr>
                <w:sz w:val="20"/>
                <w:szCs w:val="20"/>
              </w:rPr>
              <w:t xml:space="preserve"> Figura 4.2.2 Diagrama de administración de recursos y Figura 4.2.3 Diagrama de consumo de recursos,  como se </w:t>
            </w:r>
            <w:r>
              <w:rPr>
                <w:sz w:val="20"/>
                <w:szCs w:val="20"/>
              </w:rPr>
              <w:lastRenderedPageBreak/>
              <w:t xml:space="preserve">menciona en la Figura 4.2.1 Capacidades del sistema por usuario. </w:t>
            </w:r>
          </w:p>
          <w:p w14:paraId="03B47BAC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DF91807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Una vez generada la consulta a través de un polígono, se crea un historial?</w:t>
            </w:r>
            <w:proofErr w:type="gramEnd"/>
          </w:p>
          <w:p w14:paraId="181B9445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513D8BB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Considerar </w:t>
            </w:r>
            <w:proofErr w:type="gramStart"/>
            <w:r>
              <w:rPr>
                <w:sz w:val="20"/>
                <w:szCs w:val="20"/>
              </w:rPr>
              <w:t>la  generación</w:t>
            </w:r>
            <w:proofErr w:type="gramEnd"/>
            <w:r>
              <w:rPr>
                <w:sz w:val="20"/>
                <w:szCs w:val="20"/>
              </w:rPr>
              <w:t xml:space="preserve"> de un reporte general de seguimiento del sistema de indicadores semestral o anual.</w:t>
            </w:r>
          </w:p>
          <w:p w14:paraId="156E6A95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7FB984A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Tabla 4.2.2 Módulos y Casos de Uso, no se distingue la diferencia entre el usuario interno, externo. Entiendo que para el apartado de Consultas y Descargas es tanto para el Usuario Interno y Externo.</w:t>
            </w:r>
          </w:p>
          <w:p w14:paraId="1A0E37A3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 lo </w:t>
            </w:r>
            <w:proofErr w:type="gramStart"/>
            <w:r>
              <w:rPr>
                <w:sz w:val="20"/>
                <w:szCs w:val="20"/>
              </w:rPr>
              <w:t>tanto</w:t>
            </w:r>
            <w:proofErr w:type="gramEnd"/>
            <w:r>
              <w:rPr>
                <w:sz w:val="20"/>
                <w:szCs w:val="20"/>
              </w:rPr>
              <w:t xml:space="preserve"> estoy suponiendo que el apartado de Actualización de recursos, Automatización de reportes y Modulo de Administración le corresponde al Administrador, que sería adicional al Usuario Interno.  Si entiendo bien, en la Tabla 4.2.2 Módulos y Casos de Uso viene el Módulo de </w:t>
            </w:r>
            <w:r>
              <w:rPr>
                <w:i/>
                <w:sz w:val="20"/>
                <w:szCs w:val="20"/>
              </w:rPr>
              <w:t>Consultas y descargas</w:t>
            </w:r>
            <w:r>
              <w:rPr>
                <w:sz w:val="20"/>
                <w:szCs w:val="20"/>
              </w:rPr>
              <w:t xml:space="preserve"> que están relacionados a los diagramas de administración de recursos (Figura 4.2.2) y consumo de recursos (Figura 4.2.3).</w:t>
            </w:r>
          </w:p>
          <w:p w14:paraId="2E791925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sz w:val="20"/>
                <w:szCs w:val="20"/>
              </w:rPr>
              <w:t xml:space="preserve">Lo que faltó son los diagramas del Administrador relacionados a los módulos de </w:t>
            </w:r>
            <w:r>
              <w:rPr>
                <w:i/>
                <w:sz w:val="20"/>
                <w:szCs w:val="20"/>
              </w:rPr>
              <w:t xml:space="preserve">Actualización de recursos, Automatización de reportes y Módulo de administración. </w:t>
            </w:r>
            <w:proofErr w:type="gramStart"/>
            <w:r>
              <w:rPr>
                <w:i/>
                <w:sz w:val="20"/>
                <w:szCs w:val="20"/>
              </w:rPr>
              <w:t>Es correcto?</w:t>
            </w:r>
            <w:proofErr w:type="gramEnd"/>
          </w:p>
        </w:tc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2BAD" w14:textId="77777777" w:rsidR="00F12A6D" w:rsidRDefault="00EC48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Ya están incluidos</w:t>
            </w:r>
          </w:p>
          <w:p w14:paraId="04194FAE" w14:textId="77777777" w:rsidR="00EC482D" w:rsidRDefault="00EC48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15D4BEA" w14:textId="77777777" w:rsidR="00EC482D" w:rsidRDefault="00EC48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1CA166E" w14:textId="373A8A08" w:rsidR="00EC482D" w:rsidRDefault="00EC48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tiene contemplado crear un historial de consulta por polígono</w:t>
            </w:r>
            <w:r w:rsidR="0063011B">
              <w:rPr>
                <w:sz w:val="20"/>
                <w:szCs w:val="20"/>
              </w:rPr>
              <w:t xml:space="preserve">, esto hay que sacarlo en la reunión con </w:t>
            </w:r>
            <w:proofErr w:type="spellStart"/>
            <w:r w:rsidR="0063011B">
              <w:rPr>
                <w:sz w:val="20"/>
                <w:szCs w:val="20"/>
              </w:rPr>
              <w:t>sds</w:t>
            </w:r>
            <w:proofErr w:type="spellEnd"/>
            <w:r w:rsidR="0063011B">
              <w:rPr>
                <w:sz w:val="20"/>
                <w:szCs w:val="20"/>
              </w:rPr>
              <w:t>(</w:t>
            </w:r>
            <w:proofErr w:type="spellStart"/>
            <w:r w:rsidR="0063011B">
              <w:rPr>
                <w:sz w:val="20"/>
                <w:szCs w:val="20"/>
              </w:rPr>
              <w:t>andres</w:t>
            </w:r>
            <w:proofErr w:type="spellEnd"/>
            <w:r w:rsidR="0063011B">
              <w:rPr>
                <w:sz w:val="20"/>
                <w:szCs w:val="20"/>
              </w:rPr>
              <w:t>)</w:t>
            </w:r>
          </w:p>
          <w:p w14:paraId="5BCE308B" w14:textId="77777777" w:rsidR="0063011B" w:rsidRDefault="0063011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077492F" w14:textId="77777777" w:rsidR="00EC482D" w:rsidRDefault="00EC48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AF9F46B" w14:textId="77777777" w:rsidR="00F72EDC" w:rsidRDefault="00F72E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06238BA" w14:textId="77777777" w:rsidR="00525152" w:rsidRDefault="005251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</w:t>
            </w:r>
            <w:r w:rsidR="00F72EDC">
              <w:rPr>
                <w:sz w:val="20"/>
                <w:szCs w:val="20"/>
              </w:rPr>
              <w:t>odific</w:t>
            </w:r>
            <w:r>
              <w:rPr>
                <w:sz w:val="20"/>
                <w:szCs w:val="20"/>
              </w:rPr>
              <w:t>ó</w:t>
            </w:r>
            <w:r w:rsidR="00F72EDC">
              <w:rPr>
                <w:sz w:val="20"/>
                <w:szCs w:val="20"/>
              </w:rPr>
              <w:t xml:space="preserve"> la tabla de módulos y casos de uso agregando </w:t>
            </w:r>
          </w:p>
          <w:p w14:paraId="5AB0E62A" w14:textId="5E341BA9" w:rsidR="00F72EDC" w:rsidRDefault="00F72E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columna</w:t>
            </w:r>
            <w:r w:rsidR="0052515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</w:t>
            </w:r>
            <w:r w:rsidR="00525152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suarios autorizados</w:t>
            </w:r>
          </w:p>
          <w:p w14:paraId="22570453" w14:textId="7F4D9F58" w:rsidR="00F72EDC" w:rsidRDefault="00F72E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ED4132F" w14:textId="77777777" w:rsidR="00F72EDC" w:rsidRDefault="00F72E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BD9A25B" w14:textId="77777777" w:rsidR="00525152" w:rsidRDefault="005251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agregaron diagramas de casos de uso para incluir los </w:t>
            </w:r>
          </w:p>
          <w:p w14:paraId="63A77CA5" w14:textId="2A871912" w:rsidR="0086268E" w:rsidRDefault="005251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faltantes</w:t>
            </w:r>
          </w:p>
          <w:p w14:paraId="7567850C" w14:textId="77777777" w:rsidR="0086268E" w:rsidRDefault="008626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40C1635" w14:textId="77777777" w:rsidR="00D61E0B" w:rsidRDefault="00D61E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Guardar el historial de las consultas por polígono y</w:t>
            </w:r>
          </w:p>
          <w:p w14:paraId="0D105871" w14:textId="3A001D5A" w:rsidR="0086268E" w:rsidRDefault="00D61E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pdfs</w:t>
            </w:r>
            <w:proofErr w:type="spellEnd"/>
            <w:r>
              <w:rPr>
                <w:sz w:val="20"/>
                <w:szCs w:val="20"/>
              </w:rPr>
              <w:t xml:space="preserve"> mismos. </w:t>
            </w:r>
            <w:proofErr w:type="gramStart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agregar casos de uso)</w:t>
            </w:r>
          </w:p>
          <w:p w14:paraId="54902C4B" w14:textId="77777777" w:rsidR="00D61E0B" w:rsidRDefault="00D61E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1AB9D01" w14:textId="471D92A9" w:rsidR="00D61E0B" w:rsidRDefault="00D61E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1E8E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1CB4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2A6D" w14:paraId="67D01AF0" w14:textId="4D620D8A" w:rsidTr="00F1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11E791" w14:textId="77777777" w:rsidR="00F12A6D" w:rsidRDefault="00F12A6D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lang w:eastAsia="es-MX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ED673E" w14:textId="77777777" w:rsidR="00F12A6D" w:rsidRDefault="00F12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color w:val="auto"/>
                <w:sz w:val="20"/>
                <w:szCs w:val="20"/>
              </w:rPr>
              <w:t>4.2.1.7 Diagramas de actividad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9E6687" w14:textId="77777777" w:rsidR="00F12A6D" w:rsidRDefault="00F1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538E" w14:textId="77777777" w:rsidR="00F12A6D" w:rsidRDefault="00F1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420E" w14:textId="77777777" w:rsidR="00F12A6D" w:rsidRDefault="00F1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FA43" w14:textId="77777777" w:rsidR="00F12A6D" w:rsidRDefault="00F1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  <w:tr w:rsidR="00F12A6D" w14:paraId="5DF08A17" w14:textId="407FBAC0" w:rsidTr="00F12A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A6577C" w14:textId="77777777" w:rsidR="00F12A6D" w:rsidRDefault="00F12A6D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lang w:eastAsia="es-MX"/>
              </w:rPr>
            </w:pPr>
            <w:r>
              <w:rPr>
                <w:b w:val="0"/>
                <w:sz w:val="23"/>
                <w:szCs w:val="23"/>
              </w:rPr>
              <w:t>4.2.2 Arquitectura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76F1E9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2B4485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2C7E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C852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D704" w14:textId="77777777" w:rsidR="00F12A6D" w:rsidRDefault="00F12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</w:tbl>
    <w:p w14:paraId="3C23D928" w14:textId="25DD9A93" w:rsidR="00170D56" w:rsidRDefault="00137CD9"/>
    <w:p w14:paraId="417FC36F" w14:textId="5D793E7B" w:rsidR="00EC633B" w:rsidRDefault="00EC633B"/>
    <w:p w14:paraId="6C584B3C" w14:textId="77777777" w:rsidR="00946E02" w:rsidRDefault="00946E02"/>
    <w:p w14:paraId="786E6E95" w14:textId="3F9535CD" w:rsidR="00EC633B" w:rsidRDefault="00EC633B"/>
    <w:p w14:paraId="5A3DD40F" w14:textId="77777777" w:rsidR="00EC633B" w:rsidRDefault="00EC633B"/>
    <w:sectPr w:rsidR="00EC633B" w:rsidSect="00F7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6D"/>
    <w:rsid w:val="00052F11"/>
    <w:rsid w:val="00137CD9"/>
    <w:rsid w:val="00154E52"/>
    <w:rsid w:val="00193B8E"/>
    <w:rsid w:val="001D6D6A"/>
    <w:rsid w:val="002915C6"/>
    <w:rsid w:val="002E4F85"/>
    <w:rsid w:val="004D46EA"/>
    <w:rsid w:val="00525152"/>
    <w:rsid w:val="00587B44"/>
    <w:rsid w:val="0063011B"/>
    <w:rsid w:val="007F35EA"/>
    <w:rsid w:val="0086268E"/>
    <w:rsid w:val="00946E02"/>
    <w:rsid w:val="009B4BB5"/>
    <w:rsid w:val="00AF7141"/>
    <w:rsid w:val="00CD158E"/>
    <w:rsid w:val="00D61E0B"/>
    <w:rsid w:val="00DE5AF2"/>
    <w:rsid w:val="00E42CA5"/>
    <w:rsid w:val="00EC482D"/>
    <w:rsid w:val="00EC633B"/>
    <w:rsid w:val="00F12A6D"/>
    <w:rsid w:val="00F707DD"/>
    <w:rsid w:val="00F7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7C64"/>
  <w15:chartTrackingRefBased/>
  <w15:docId w15:val="{76B432A4-1272-456C-8D16-6F4DD931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A6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semiHidden/>
    <w:unhideWhenUsed/>
    <w:rsid w:val="00F12A6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5596</TotalTime>
  <Pages>2</Pages>
  <Words>449</Words>
  <Characters>2502</Characters>
  <Application>Microsoft Office Word</Application>
  <DocSecurity>0</DocSecurity>
  <Lines>69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Lancis Computo</dc:creator>
  <cp:keywords/>
  <dc:description/>
  <cp:lastModifiedBy>Lancis Computo</cp:lastModifiedBy>
  <cp:revision>4</cp:revision>
  <dcterms:created xsi:type="dcterms:W3CDTF">2020-10-29T14:34:00Z</dcterms:created>
  <dcterms:modified xsi:type="dcterms:W3CDTF">2020-11-04T00:49:00Z</dcterms:modified>
</cp:coreProperties>
</file>