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5094A" w:rsidR="00D5094A" w:rsidP="00D5094A" w:rsidRDefault="002944A1" w14:paraId="0F5BC1DE" w14:textId="4B2C4AC1">
      <w:pPr>
        <w:rPr>
          <w:lang w:val="es-ES"/>
        </w:rPr>
      </w:pPr>
      <w:r w:rsidRPr="002944A1">
        <w:rPr>
          <w:lang w:val="es-ES"/>
        </w:rPr>
        <w:t>La KSIM, o simulación K, por Kane (1972), es una técnica de modelación cualitativa</w:t>
      </w:r>
      <w:r w:rsidR="00586C62">
        <w:rPr>
          <w:lang w:val="es-ES"/>
        </w:rPr>
        <w:t xml:space="preserve"> y </w:t>
      </w:r>
      <w:r w:rsidR="004F30BD">
        <w:rPr>
          <w:lang w:val="es-ES"/>
        </w:rPr>
        <w:t>dinámica</w:t>
      </w:r>
      <w:r w:rsidRPr="002944A1">
        <w:rPr>
          <w:lang w:val="es-ES"/>
        </w:rPr>
        <w:t xml:space="preserve">. </w:t>
      </w:r>
      <w:r w:rsidR="00D5094A">
        <w:rPr>
          <w:lang w:val="es-ES"/>
        </w:rPr>
        <w:t>Esta t</w:t>
      </w:r>
      <w:r w:rsidRPr="00D5094A" w:rsidR="00D5094A">
        <w:rPr>
          <w:lang w:val="es-ES"/>
        </w:rPr>
        <w:t>éc</w:t>
      </w:r>
      <w:r w:rsidR="00D5094A">
        <w:rPr>
          <w:lang w:val="es-ES"/>
        </w:rPr>
        <w:t>nica se fundamenta en cinco</w:t>
      </w:r>
      <w:r w:rsidRPr="00D5094A" w:rsidR="00D5094A">
        <w:rPr>
          <w:lang w:val="es-ES"/>
        </w:rPr>
        <w:t xml:space="preserve"> postulados:</w:t>
      </w:r>
    </w:p>
    <w:p w:rsidRPr="00D5094A" w:rsidR="00D5094A" w:rsidP="00D5094A" w:rsidRDefault="00D5094A" w14:paraId="4E292216" w14:textId="77777777">
      <w:pPr>
        <w:rPr>
          <w:lang w:val="es-ES"/>
        </w:rPr>
      </w:pPr>
      <w:r w:rsidRPr="00D5094A">
        <w:rPr>
          <w:lang w:val="es-ES"/>
        </w:rPr>
        <w:t>1. Las relaciones entre variables pueden describirse mediante matrices de interacción.</w:t>
      </w:r>
    </w:p>
    <w:p w:rsidRPr="00D5094A" w:rsidR="00D5094A" w:rsidP="00D5094A" w:rsidRDefault="00D5094A" w14:paraId="71245215" w14:textId="7FFABE7C">
      <w:pPr>
        <w:rPr>
          <w:lang w:val="es-ES"/>
        </w:rPr>
      </w:pPr>
      <w:r w:rsidRPr="00D5094A">
        <w:rPr>
          <w:lang w:val="es-ES"/>
        </w:rPr>
        <w:t>2. Ningún fenómeno puede crecer o decrecer indefinidamente; por lo tanto, todas</w:t>
      </w:r>
      <w:r>
        <w:rPr>
          <w:lang w:val="es-ES"/>
        </w:rPr>
        <w:t xml:space="preserve"> </w:t>
      </w:r>
      <w:r w:rsidRPr="00D5094A">
        <w:rPr>
          <w:lang w:val="es-ES"/>
        </w:rPr>
        <w:t>las variables están restringidas al intervalo [0,1].</w:t>
      </w:r>
    </w:p>
    <w:p w:rsidRPr="00D5094A" w:rsidR="00D5094A" w:rsidP="00D5094A" w:rsidRDefault="00D5094A" w14:paraId="4DC61A50" w14:textId="3611C469">
      <w:pPr>
        <w:rPr>
          <w:lang w:val="es-ES"/>
        </w:rPr>
      </w:pPr>
      <w:r w:rsidRPr="00D5094A">
        <w:rPr>
          <w:lang w:val="es-ES"/>
        </w:rPr>
        <w:t>3. La respuesta de una variable tiende a cero cuando su valor se aproxima al límite</w:t>
      </w:r>
      <w:r>
        <w:rPr>
          <w:lang w:val="es-ES"/>
        </w:rPr>
        <w:t xml:space="preserve"> </w:t>
      </w:r>
      <w:r w:rsidRPr="00D5094A">
        <w:rPr>
          <w:lang w:val="es-ES"/>
        </w:rPr>
        <w:t>inferior o superior. Esto confiere un comportamiento sigmoidal a la respuesta de</w:t>
      </w:r>
      <w:r>
        <w:rPr>
          <w:lang w:val="es-ES"/>
        </w:rPr>
        <w:t xml:space="preserve"> </w:t>
      </w:r>
      <w:r w:rsidRPr="00D5094A">
        <w:rPr>
          <w:lang w:val="es-ES"/>
        </w:rPr>
        <w:t>una variable a su entorno (en términos amables, una gráfica con forma de “S”).</w:t>
      </w:r>
    </w:p>
    <w:p w:rsidRPr="00D5094A" w:rsidR="00D5094A" w:rsidP="00D5094A" w:rsidRDefault="00D5094A" w14:paraId="5DB7F4EE" w14:textId="1EF119F1">
      <w:pPr>
        <w:rPr>
          <w:lang w:val="es-ES"/>
        </w:rPr>
      </w:pPr>
      <w:r w:rsidRPr="00D5094A">
        <w:rPr>
          <w:lang w:val="es-ES"/>
        </w:rPr>
        <w:t>4. El valor de una variable aumenta o disminuye dependiendo si el efecto neto de</w:t>
      </w:r>
      <w:r>
        <w:rPr>
          <w:lang w:val="es-ES"/>
        </w:rPr>
        <w:t xml:space="preserve"> </w:t>
      </w:r>
      <w:r w:rsidRPr="00D5094A">
        <w:rPr>
          <w:lang w:val="es-ES"/>
        </w:rPr>
        <w:t>las otras variables sobre ella es positivo o negativo.</w:t>
      </w:r>
    </w:p>
    <w:p w:rsidR="00D5094A" w:rsidP="00D5094A" w:rsidRDefault="00D5094A" w14:paraId="180D638B" w14:textId="321864C9">
      <w:pPr>
        <w:rPr>
          <w:lang w:val="es-ES"/>
        </w:rPr>
      </w:pPr>
      <w:r w:rsidRPr="00D5094A">
        <w:rPr>
          <w:lang w:val="es-ES"/>
        </w:rPr>
        <w:t>5. El efecto de una variable aumenta proporcionalmente al incremento de su valor</w:t>
      </w:r>
      <w:r>
        <w:rPr>
          <w:lang w:val="es-ES"/>
        </w:rPr>
        <w:t xml:space="preserve"> </w:t>
      </w:r>
      <w:r w:rsidRPr="00D5094A">
        <w:rPr>
          <w:lang w:val="es-ES"/>
        </w:rPr>
        <w:t>y viceversa (en otras palabras, “según el sapo es la pedrada”).</w:t>
      </w:r>
    </w:p>
    <w:p w:rsidRPr="00440343" w:rsidR="00440343" w:rsidP="00440343" w:rsidRDefault="00440343" w14:paraId="388BEE45" w14:textId="601C2084">
      <w:pPr>
        <w:rPr>
          <w:szCs w:val="24"/>
          <w:lang w:val="es-ES"/>
        </w:rPr>
      </w:pPr>
      <w:r>
        <w:rPr>
          <w:szCs w:val="24"/>
          <w:lang w:val="es-ES"/>
        </w:rPr>
        <w:t>L</w:t>
      </w:r>
      <w:r w:rsidRPr="00440343">
        <w:rPr>
          <w:szCs w:val="24"/>
          <w:lang w:val="es-ES"/>
        </w:rPr>
        <w:t>a KSIM se describe por la siguiente ecuación diferencial</w:t>
      </w:r>
    </w:p>
    <w:p w:rsidRPr="00440343" w:rsidR="00440343" w:rsidP="00440343" w:rsidRDefault="00440343" w14:paraId="6B40961F" w14:textId="77777777">
      <w:pPr>
        <w:rPr>
          <w:szCs w:val="24"/>
          <w:lang w:val="es-ES"/>
        </w:rPr>
      </w:pPr>
    </w:p>
    <w:p w:rsidRPr="00440343" w:rsidR="00440343" w:rsidP="00440343" w:rsidRDefault="00000000" w14:paraId="27CC00ED" w14:textId="77777777">
      <w:pPr>
        <w:jc w:val="center"/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it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/>
                  <w:szCs w:val="24"/>
                </w:rPr>
                <m:t>-</m:t>
              </m:r>
              <m:r>
                <w:rPr>
                  <w:rFonts w:ascii="Cambria Math"/>
                  <w:szCs w:val="24"/>
                </w:rPr>
                <m:t>x</m:t>
              </m:r>
            </m:e>
            <m:sub>
              <m:r>
                <w:rPr>
                  <w:rFonts w:ascii="Cambria Math"/>
                  <w:szCs w:val="24"/>
                </w:rPr>
                <m:t>it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w:rPr>
                  <w:rFonts w:ascii="Cambria Math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4"/>
                    </w:rPr>
                    <m:t>it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jt</m:t>
                      </m:r>
                    </m:sub>
                  </m:sSub>
                  <m:r>
                    <w:rPr>
                      <w:rFonts w:ascii="Cambria Math"/>
                      <w:szCs w:val="24"/>
                    </w:rPr>
                    <m:t>+</m:t>
                  </m:r>
                </m:e>
              </m:nary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jt</m:t>
                      </m:r>
                    </m:sub>
                  </m:sSub>
                </m:e>
              </m:nary>
            </m:e>
          </m:d>
        </m:oMath>
      </m:oMathPara>
    </w:p>
    <w:p w:rsidR="008D56D1" w:rsidP="008D56D1" w:rsidRDefault="008D56D1" w14:paraId="76DA43AD" w14:textId="77777777">
      <w:pPr>
        <w:rPr>
          <w:lang w:val="es-ES"/>
        </w:rPr>
      </w:pPr>
    </w:p>
    <w:p w:rsidR="009406E3" w:rsidP="008D56D1" w:rsidRDefault="008D56D1" w14:paraId="639A8A6D" w14:textId="7A324DA9">
      <w:pPr>
        <w:rPr>
          <w:lang w:val="es-ES"/>
        </w:rPr>
      </w:pPr>
      <w:r w:rsidRPr="008D56D1">
        <w:rPr>
          <w:lang w:val="es-ES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jt</m:t>
            </m:r>
          </m:sub>
        </m:sSub>
      </m:oMath>
      <w:r w:rsidRPr="008D56D1">
        <w:rPr>
          <w:lang w:val="es-ES"/>
        </w:rPr>
        <w:t xml:space="preserve"> es la derivada de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x</m:t>
            </m:r>
          </m:e>
          <m:sub>
            <m:r>
              <w:rPr>
                <w:rFonts w:ascii="Cambria Math"/>
                <w:szCs w:val="24"/>
              </w:rPr>
              <m:t>jt</m:t>
            </m:r>
          </m:sub>
        </m:sSub>
      </m:oMath>
      <w:r>
        <w:rPr>
          <w:lang w:val="es-ES"/>
        </w:rPr>
        <w:t xml:space="preserve"> </w:t>
      </w:r>
      <w:r w:rsidRPr="008D56D1">
        <w:rPr>
          <w:lang w:val="es-ES"/>
        </w:rPr>
        <w:t>con respecto al tiempo.</w:t>
      </w:r>
    </w:p>
    <w:p w:rsidR="008D56D1" w:rsidP="00D5094A" w:rsidRDefault="008D56D1" w14:paraId="2AC79545" w14:textId="45B63954">
      <w:pPr>
        <w:rPr>
          <w:lang w:val="es-ES"/>
        </w:rPr>
      </w:pPr>
    </w:p>
    <w:p w:rsidR="008D56D1" w:rsidP="00D5094A" w:rsidRDefault="008D56D1" w14:paraId="7AC22D5E" w14:textId="77777777">
      <w:pPr>
        <w:rPr>
          <w:lang w:val="es-ES"/>
        </w:rPr>
      </w:pPr>
    </w:p>
    <w:p w:rsidR="00D5094A" w:rsidP="00D5094A" w:rsidRDefault="009406E3" w14:paraId="11A50C66" w14:textId="051637EC">
      <w:pPr>
        <w:rPr>
          <w:lang w:val="es-ES"/>
        </w:rPr>
      </w:pPr>
      <w:r>
        <w:rPr>
          <w:lang w:val="es-ES"/>
        </w:rPr>
        <w:t>Si quieres saber más sobre la KSIM y la modelación exploratoria, descarga este manual</w:t>
      </w:r>
      <w:r w:rsidR="008A0ECE">
        <w:rPr>
          <w:lang w:val="es-ES"/>
        </w:rPr>
        <w:t xml:space="preserve"> donde podrás seguir un ejemplo en Excel. </w:t>
      </w:r>
    </w:p>
    <w:p w:rsidR="004F30BD" w:rsidP="00D5094A" w:rsidRDefault="004F30BD" w14:paraId="58D3582E" w14:textId="3EEABAAC">
      <w:pPr>
        <w:rPr>
          <w:lang w:val="es-ES"/>
        </w:rPr>
      </w:pPr>
    </w:p>
    <w:p w:rsidR="004F30BD" w:rsidP="00D5094A" w:rsidRDefault="004F30BD" w14:paraId="4E0829C8" w14:textId="0502BB03">
      <w:pPr>
        <w:rPr>
          <w:lang w:val="es-ES"/>
        </w:rPr>
      </w:pPr>
      <w:r>
        <w:rPr>
          <w:lang w:val="es-ES"/>
        </w:rPr>
        <w:t xml:space="preserve">El archivo de Excel contiene una KSIM de siete variables que debes </w:t>
      </w:r>
      <w:r w:rsidR="00EE2F5F">
        <w:rPr>
          <w:lang w:val="es-ES"/>
        </w:rPr>
        <w:t xml:space="preserve">relacionar y </w:t>
      </w:r>
      <w:r>
        <w:rPr>
          <w:lang w:val="es-ES"/>
        </w:rPr>
        <w:t>calibrar.</w:t>
      </w:r>
    </w:p>
    <w:p w:rsidR="004F30BD" w:rsidP="00D5094A" w:rsidRDefault="004F30BD" w14:paraId="241E3F3A" w14:textId="73A78B48">
      <w:pPr>
        <w:rPr>
          <w:lang w:val="es-ES"/>
        </w:rPr>
      </w:pPr>
    </w:p>
    <w:p w:rsidR="004F30BD" w:rsidP="004F30BD" w:rsidRDefault="0034354F" w14:paraId="7D3CAB19" w14:textId="64571506">
      <w:pPr>
        <w:rPr>
          <w:lang w:val="es-ES"/>
        </w:rPr>
      </w:pPr>
      <w:r>
        <w:rPr>
          <w:lang w:val="es-ES"/>
        </w:rPr>
        <w:t xml:space="preserve">La KSIM es una técnica que favorece la </w:t>
      </w:r>
      <w:r w:rsidRPr="00EE2F5F">
        <w:rPr>
          <w:b/>
          <w:bCs/>
          <w:lang w:val="es-ES"/>
        </w:rPr>
        <w:t>modelación exploratoria</w:t>
      </w:r>
      <w:r>
        <w:rPr>
          <w:lang w:val="es-ES"/>
        </w:rPr>
        <w:t xml:space="preserve">. </w:t>
      </w:r>
      <w:r w:rsidRPr="00B355E6" w:rsidR="004F30BD">
        <w:rPr>
          <w:lang w:val="es-ES"/>
        </w:rPr>
        <w:t>Esto se debe a que permite investigar, crear y</w:t>
      </w:r>
      <w:r w:rsidR="004F30BD">
        <w:rPr>
          <w:lang w:val="es-ES"/>
        </w:rPr>
        <w:t xml:space="preserve"> </w:t>
      </w:r>
      <w:r w:rsidRPr="00B355E6" w:rsidR="004F30BD">
        <w:rPr>
          <w:lang w:val="es-ES"/>
        </w:rPr>
        <w:t>probar condiciones de</w:t>
      </w:r>
      <w:r w:rsidR="00445551">
        <w:rPr>
          <w:lang w:val="es-ES"/>
        </w:rPr>
        <w:t xml:space="preserve"> un</w:t>
      </w:r>
      <w:r w:rsidRPr="00B355E6" w:rsidR="004F30BD">
        <w:rPr>
          <w:lang w:val="es-ES"/>
        </w:rPr>
        <w:t xml:space="preserve"> sistema en un tiempo futuro bajo una serie de conjeturas preestablecidas</w:t>
      </w:r>
      <w:r w:rsidR="004F30BD">
        <w:rPr>
          <w:lang w:val="es-ES"/>
        </w:rPr>
        <w:t>.</w:t>
      </w:r>
      <w:r w:rsidRPr="00B355E6" w:rsidR="004F30BD">
        <w:rPr>
          <w:lang w:val="es-ES"/>
        </w:rPr>
        <w:t xml:space="preserve"> Es decir, permite visualizar qué pasaría en el sistema en diferentes cursos de acción sobre sus</w:t>
      </w:r>
      <w:r w:rsidR="004F30BD">
        <w:rPr>
          <w:lang w:val="es-ES"/>
        </w:rPr>
        <w:t xml:space="preserve"> </w:t>
      </w:r>
      <w:r w:rsidRPr="00B355E6" w:rsidR="004F30BD">
        <w:rPr>
          <w:lang w:val="es-ES"/>
        </w:rPr>
        <w:t>componentes.</w:t>
      </w:r>
      <w:r w:rsidR="00E748F6">
        <w:rPr>
          <w:lang w:val="es-ES"/>
        </w:rPr>
        <w:t xml:space="preserve"> </w:t>
      </w:r>
    </w:p>
    <w:p w:rsidR="00835DF8" w:rsidP="004F30BD" w:rsidRDefault="00CA522E" w14:paraId="05DC494A" w14:textId="1E90AB45">
      <w:pPr>
        <w:rPr>
          <w:lang w:val="es-ES"/>
        </w:rPr>
      </w:pPr>
      <w:r>
        <w:rPr>
          <w:lang w:val="es-ES"/>
        </w:rPr>
        <w:t xml:space="preserve">Aquí te proporcionamos un </w:t>
      </w:r>
      <w:r w:rsidR="00835DF8">
        <w:rPr>
          <w:lang w:val="es-ES"/>
        </w:rPr>
        <w:t xml:space="preserve">ejemplo de modelación exploratoria basado en la KSIM </w:t>
      </w:r>
      <w:r>
        <w:rPr>
          <w:lang w:val="es-ES"/>
        </w:rPr>
        <w:t>utilizando el software Crystal Ball ®</w:t>
      </w:r>
      <w:r w:rsidR="00835DF8">
        <w:rPr>
          <w:lang w:val="es-ES"/>
        </w:rPr>
        <w:t xml:space="preserve"> y la visualización de </w:t>
      </w:r>
      <w:r w:rsidR="009039A4">
        <w:rPr>
          <w:lang w:val="es-ES"/>
        </w:rPr>
        <w:t>los resultados</w:t>
      </w:r>
      <w:r w:rsidR="00835DF8">
        <w:rPr>
          <w:lang w:val="es-ES"/>
        </w:rPr>
        <w:t xml:space="preserve"> en RStudio. </w:t>
      </w:r>
    </w:p>
    <w:p w:rsidR="000F5290" w:rsidP="004F30BD" w:rsidRDefault="000F5290" w14:paraId="6CDCACE2" w14:textId="087799C3">
      <w:pPr>
        <w:rPr>
          <w:lang w:val="es-ES"/>
        </w:rPr>
      </w:pPr>
      <w:r>
        <w:rPr>
          <w:lang w:val="es-ES"/>
        </w:rPr>
        <w:t>Pasos para desarrollar el ejemplo:</w:t>
      </w:r>
    </w:p>
    <w:p w:rsidR="000F5290" w:rsidP="00514323" w:rsidRDefault="00A407A8" w14:paraId="01FB31C2" w14:textId="2237EF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Obtener una licencia</w:t>
      </w:r>
      <w:r w:rsidRPr="00A407A8">
        <w:rPr>
          <w:lang w:val="es-ES"/>
        </w:rPr>
        <w:t xml:space="preserve"> Crystal Ball</w:t>
      </w:r>
      <w:r>
        <w:rPr>
          <w:lang w:val="es-ES"/>
        </w:rPr>
        <w:t xml:space="preserve"> ® </w:t>
      </w:r>
      <w:r w:rsidRPr="00A407A8">
        <w:rPr>
          <w:lang w:val="es-ES"/>
        </w:rPr>
        <w:t xml:space="preserve">en </w:t>
      </w:r>
      <w:hyperlink w:history="1" r:id="rId6">
        <w:r w:rsidRPr="00116DB2" w:rsidR="00025737">
          <w:rPr>
            <w:rStyle w:val="Hipervnculo"/>
            <w:lang w:val="es-ES"/>
          </w:rPr>
          <w:t>https://www.oracle.com/mx/applications/crystalball/</w:t>
        </w:r>
      </w:hyperlink>
    </w:p>
    <w:p w:rsidR="004F30BD" w:rsidP="00911B47" w:rsidRDefault="00911B47" w14:paraId="7D974FF3" w14:textId="139D6B9F">
      <w:pPr>
        <w:pStyle w:val="Prrafodelista"/>
        <w:numPr>
          <w:ilvl w:val="0"/>
          <w:numId w:val="1"/>
        </w:numPr>
        <w:rPr>
          <w:lang w:val="es-ES"/>
        </w:rPr>
      </w:pPr>
      <w:r w:rsidRPr="3CBCD450" w:rsidR="3CBCD450">
        <w:rPr>
          <w:lang w:val="es-ES"/>
        </w:rPr>
        <w:t>Descargar el archivo en Excel [archivo de excel]</w:t>
      </w:r>
    </w:p>
    <w:p w:rsidR="00911B47" w:rsidP="00911B47" w:rsidRDefault="00911B47" w14:paraId="7A59C778" w14:textId="5FCBCF6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Correr la KSIM con Crystal Ball ® y obtener la base de datos de los resultados de la simulaci</w:t>
      </w:r>
      <w:r w:rsidRPr="00911B47">
        <w:rPr>
          <w:lang w:val="es-ES"/>
        </w:rPr>
        <w:t>ó</w:t>
      </w:r>
      <w:r>
        <w:rPr>
          <w:lang w:val="es-ES"/>
        </w:rPr>
        <w:t>n</w:t>
      </w:r>
    </w:p>
    <w:p w:rsidR="00911B47" w:rsidP="00911B47" w:rsidRDefault="00ED4F6B" w14:paraId="5D529734" w14:textId="0F8806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Graficar los resultados en RStudio con</w:t>
      </w:r>
      <w:r w:rsidR="00911B47">
        <w:rPr>
          <w:lang w:val="es-ES"/>
        </w:rPr>
        <w:t xml:space="preserve"> el código </w:t>
      </w:r>
      <w:r>
        <w:rPr>
          <w:lang w:val="es-ES"/>
        </w:rPr>
        <w:t>del repositorio</w:t>
      </w:r>
    </w:p>
    <w:p w:rsidR="004F30BD" w:rsidP="00D5094A" w:rsidRDefault="004F30BD" w14:paraId="51B3A401" w14:textId="77777777">
      <w:pPr>
        <w:rPr>
          <w:lang w:val="es-ES"/>
        </w:rPr>
      </w:pPr>
    </w:p>
    <w:p w:rsidR="00074465" w:rsidP="00D5094A" w:rsidRDefault="00CF71EB" w14:paraId="208C333C" w14:textId="2C1FA269">
      <w:pPr>
        <w:rPr>
          <w:lang w:val="es-ES"/>
        </w:rPr>
      </w:pPr>
      <w:r>
        <w:rPr>
          <w:lang w:val="es-ES"/>
        </w:rPr>
        <w:t>Referencias</w:t>
      </w:r>
    </w:p>
    <w:p w:rsidR="00CF71EB" w:rsidP="009F0534" w:rsidRDefault="009F0534" w14:paraId="54A65E99" w14:textId="3E4F1B7C">
      <w:r w:rsidRPr="009F0534">
        <w:t xml:space="preserve">Bankes S. 1993. “Exploratory Modeling for Policy Analysis.” Operations Research 41(3):435-449. </w:t>
      </w:r>
      <w:hyperlink w:history="1" r:id="rId7">
        <w:r w:rsidRPr="00067FFA" w:rsidR="001C6B79">
          <w:rPr>
            <w:rStyle w:val="Hipervnculo"/>
          </w:rPr>
          <w:t>http://dx.doi.org/10.1287/opre.41.3.435</w:t>
        </w:r>
      </w:hyperlink>
    </w:p>
    <w:p w:rsidRPr="001C6B79" w:rsidR="001C6B79" w:rsidP="001C6B79" w:rsidRDefault="001C6B79" w14:paraId="7BDE28C1" w14:textId="1E0E0D1B">
      <w:r w:rsidRPr="001C6B79">
        <w:t xml:space="preserve">Black, R. L., Oldham, W. J. B., &amp; Marcy, W. M. (1994). </w:t>
      </w:r>
      <w:r w:rsidR="00030E0B">
        <w:t>“</w:t>
      </w:r>
      <w:r w:rsidRPr="001C6B79">
        <w:t>Training KSIM models from time series data.</w:t>
      </w:r>
      <w:r w:rsidR="00030E0B">
        <w:t xml:space="preserve">” </w:t>
      </w:r>
      <w:r w:rsidRPr="001C6B79">
        <w:t>Technological Forecasting and Social Change, 47(3), 293–307. https://doi.org/10.1016/0040-1625(94)90070-1</w:t>
      </w:r>
    </w:p>
    <w:p w:rsidRPr="001C6B79" w:rsidR="001C6B79" w:rsidP="001C6B79" w:rsidRDefault="001C6B79" w14:paraId="14CE639C" w14:textId="67172DA6">
      <w:r w:rsidRPr="001C6B79">
        <w:t xml:space="preserve">Bojórquez-Tapia, L. A., Ezcurra, E., &amp; García, O. (1998). </w:t>
      </w:r>
      <w:r w:rsidR="00030E0B">
        <w:t>“</w:t>
      </w:r>
      <w:r w:rsidRPr="001C6B79">
        <w:t>Appraisal of environmental impacts and mitigation measures through mathematical matrices</w:t>
      </w:r>
      <w:r w:rsidR="00030E0B">
        <w:t>”</w:t>
      </w:r>
      <w:r w:rsidRPr="001C6B79">
        <w:t>. Journal of Environmental Management, 53(1), 91–99. https://doi.org/10.1006/jema.1998.0191</w:t>
      </w:r>
    </w:p>
    <w:p w:rsidRPr="00030E0B" w:rsidR="007F039D" w:rsidP="00030E0B" w:rsidRDefault="00030E0B" w14:paraId="2DFF0075" w14:textId="47ED35FE">
      <w:pPr>
        <w:rPr>
          <w:lang w:val="es-ES"/>
        </w:rPr>
      </w:pPr>
      <w:r w:rsidRPr="00030E0B">
        <w:rPr>
          <w:lang w:val="es-ES"/>
        </w:rPr>
        <w:t>Boj</w:t>
      </w:r>
      <w:r>
        <w:rPr>
          <w:lang w:val="es-ES"/>
        </w:rPr>
        <w:t xml:space="preserve">órquez T. y Ortega A. (1989). </w:t>
      </w:r>
      <w:r w:rsidRPr="00030E0B">
        <w:rPr>
          <w:lang w:val="es-ES"/>
        </w:rPr>
        <w:t>“</w:t>
      </w:r>
      <w:r w:rsidRPr="00030E0B">
        <w:rPr>
          <w:lang w:val="es-ES"/>
        </w:rPr>
        <w:t>Análisis de técnicas de simulación cualitativa</w:t>
      </w:r>
      <w:r>
        <w:rPr>
          <w:lang w:val="es-ES"/>
        </w:rPr>
        <w:t xml:space="preserve"> </w:t>
      </w:r>
      <w:r w:rsidRPr="00030E0B">
        <w:rPr>
          <w:lang w:val="es-ES"/>
        </w:rPr>
        <w:t>para la predicción del impacto ecológico</w:t>
      </w:r>
      <w:r w:rsidRPr="00030E0B">
        <w:rPr>
          <w:lang w:val="es-ES"/>
        </w:rPr>
        <w:t xml:space="preserve">.” </w:t>
      </w:r>
      <w:r>
        <w:rPr>
          <w:lang w:val="es-ES"/>
        </w:rPr>
        <w:t>Ciencia, 40</w:t>
      </w:r>
      <w:r w:rsidR="00005767">
        <w:rPr>
          <w:lang w:val="es-ES"/>
        </w:rPr>
        <w:t>:</w:t>
      </w:r>
      <w:r>
        <w:rPr>
          <w:lang w:val="es-ES"/>
        </w:rPr>
        <w:t>71-78.</w:t>
      </w:r>
    </w:p>
    <w:p w:rsidR="009406E3" w:rsidP="009F0534" w:rsidRDefault="009F0534" w14:paraId="0768916C" w14:textId="1ADD983F">
      <w:r w:rsidRPr="00030E0B">
        <w:t xml:space="preserve">Burns J. y Marcy W. </w:t>
      </w:r>
      <w:r w:rsidRPr="00030E0B" w:rsidR="00030E0B">
        <w:t>(</w:t>
      </w:r>
      <w:r w:rsidRPr="00030E0B">
        <w:t>1979</w:t>
      </w:r>
      <w:r w:rsidRPr="00030E0B" w:rsidR="00030E0B">
        <w:t>)</w:t>
      </w:r>
      <w:r w:rsidRPr="00030E0B">
        <w:t xml:space="preserve">. </w:t>
      </w:r>
      <w:r w:rsidR="00030E0B">
        <w:t>“</w:t>
      </w:r>
      <w:r>
        <w:t>Causality: Its Characterization in System Dynamics and KSIM Models</w:t>
      </w:r>
      <w:r>
        <w:t xml:space="preserve"> </w:t>
      </w:r>
      <w:r>
        <w:t>of Socioeconomic Systems.</w:t>
      </w:r>
      <w:r w:rsidR="00030E0B">
        <w:t>”</w:t>
      </w:r>
      <w:r>
        <w:t xml:space="preserve"> Technological forecasting and social change 14:387-398.</w:t>
      </w:r>
    </w:p>
    <w:p w:rsidR="009F0534" w:rsidP="009F0534" w:rsidRDefault="009F0534" w14:paraId="1A4EACA7" w14:textId="0FA234CE">
      <w:r>
        <w:t>Kane J. 1972. “A primer for a new cross-impact language —KSIM.” Technological Forecasting and Social</w:t>
      </w:r>
      <w:r>
        <w:t xml:space="preserve"> </w:t>
      </w:r>
      <w:r>
        <w:t>Change 4:129-142.</w:t>
      </w:r>
    </w:p>
    <w:p w:rsidR="009F0534" w:rsidP="009F0534" w:rsidRDefault="009F0534" w14:paraId="3F41468F" w14:textId="7119EDB7">
      <w:r>
        <w:t>Kane J., Vertinsky I. y Thomson W. 1973. “KSIM: A Methodology for Interactive Resource Policy Simulation.” Water Resource Research 9(1): 65-79.</w:t>
      </w:r>
    </w:p>
    <w:p w:rsidR="009F0534" w:rsidP="009F0534" w:rsidRDefault="009F0534" w14:paraId="66B23B58" w14:textId="5921B844">
      <w:r>
        <w:t>Lempert, R.J., Groves, D.G., 2010. “Identifying and evaluating robust adaptive policy responses to climate</w:t>
      </w:r>
      <w:r>
        <w:t xml:space="preserve"> </w:t>
      </w:r>
      <w:r>
        <w:t>change for water management agencies in the American wes”. Technological Forecasting and Social</w:t>
      </w:r>
      <w:r>
        <w:t xml:space="preserve"> </w:t>
      </w:r>
      <w:r>
        <w:t>Change 77: 960-974.</w:t>
      </w:r>
    </w:p>
    <w:p w:rsidR="009F0534" w:rsidP="009F0534" w:rsidRDefault="009F0534" w14:paraId="0AC16DB6" w14:textId="01A6436D">
      <w:r>
        <w:t>Lempert R.J., Groves D.G., Popper S.W., Bankes S.C., 2006. “A general, analytic method for generating</w:t>
      </w:r>
      <w:r>
        <w:t xml:space="preserve"> </w:t>
      </w:r>
      <w:r>
        <w:t>robust strategies and narrative scenarios.” Management Science 52: 514-528.</w:t>
      </w:r>
    </w:p>
    <w:p w:rsidRPr="009F0534" w:rsidR="002D1454" w:rsidP="002D1454" w:rsidRDefault="002D1454" w14:paraId="627567A4" w14:textId="1D0421E3">
      <w:r w:rsidRPr="002D1454">
        <w:rPr>
          <w:lang w:val="es-ES"/>
        </w:rPr>
        <w:t xml:space="preserve">Moallemi E.A. y Malekpour S. 2018. </w:t>
      </w:r>
      <w:r>
        <w:t>“A participatory exploratory modelling approach for long-term planning in energy transitions.” Energy Research &amp; Social Science 35: 205-216.</w:t>
      </w:r>
    </w:p>
    <w:p w:rsidRPr="001C6B79" w:rsidR="001C6B79" w:rsidP="001C6B79" w:rsidRDefault="001C6B79" w14:paraId="19FDEBE3" w14:textId="77777777">
      <w:r w:rsidRPr="001C6B79">
        <w:rPr>
          <w:lang w:val="es-ES"/>
        </w:rPr>
        <w:t xml:space="preserve">Mohapatra, P. K. J., &amp; Vizayakumar, K. (1989). </w:t>
      </w:r>
      <w:r w:rsidRPr="001C6B79">
        <w:t>Revisiting causality in system dynamics and KSIM models. Technological Forecasting and Social Change, 36(4), 363–387. https://doi.org/10.1016/0040-1625(89)90029-2</w:t>
      </w:r>
    </w:p>
    <w:p w:rsidRPr="001C6B79" w:rsidR="001C6B79" w:rsidP="001C6B79" w:rsidRDefault="001C6B79" w14:paraId="3D4F17B1" w14:textId="74C11A35">
      <w:r w:rsidRPr="001C6B79">
        <w:t xml:space="preserve">Preston White, K. (1981). The Equilibria of KSIM Models: Existence, Stability, and Implications. IEEE Transactions on Systems, Man and Cybernetics, 11(8), 564–570. </w:t>
      </w:r>
      <w:r w:rsidR="007F039D">
        <w:t>h</w:t>
      </w:r>
      <w:r w:rsidRPr="001C6B79">
        <w:t>ttps://doi.org/10.1109/TSMC.1981.4308745</w:t>
      </w:r>
    </w:p>
    <w:p w:rsidRPr="001C6B79" w:rsidR="001C6B79" w:rsidP="00D5094A" w:rsidRDefault="001C6B79" w14:paraId="35A9CFB6" w14:textId="1E4CABEF"/>
    <w:sectPr w:rsidRPr="001C6B79" w:rsidR="001C6B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24A4"/>
    <w:multiLevelType w:val="hybridMultilevel"/>
    <w:tmpl w:val="E44A86C8"/>
    <w:lvl w:ilvl="0" w:tplc="3E56D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47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A1"/>
    <w:rsid w:val="00005767"/>
    <w:rsid w:val="00025737"/>
    <w:rsid w:val="00030E0B"/>
    <w:rsid w:val="00074465"/>
    <w:rsid w:val="000F5290"/>
    <w:rsid w:val="001C6B79"/>
    <w:rsid w:val="001D4BB1"/>
    <w:rsid w:val="002944A1"/>
    <w:rsid w:val="002D1454"/>
    <w:rsid w:val="0034354F"/>
    <w:rsid w:val="00440343"/>
    <w:rsid w:val="00445551"/>
    <w:rsid w:val="004559BB"/>
    <w:rsid w:val="004F30BD"/>
    <w:rsid w:val="00514323"/>
    <w:rsid w:val="00586C62"/>
    <w:rsid w:val="007F039D"/>
    <w:rsid w:val="00835DF8"/>
    <w:rsid w:val="008A0ECE"/>
    <w:rsid w:val="008D56D1"/>
    <w:rsid w:val="009039A4"/>
    <w:rsid w:val="00911B47"/>
    <w:rsid w:val="009406E3"/>
    <w:rsid w:val="009F0534"/>
    <w:rsid w:val="00A407A8"/>
    <w:rsid w:val="00B166B2"/>
    <w:rsid w:val="00B355E6"/>
    <w:rsid w:val="00CA522E"/>
    <w:rsid w:val="00CF71EB"/>
    <w:rsid w:val="00D5094A"/>
    <w:rsid w:val="00D87E9C"/>
    <w:rsid w:val="00E748F6"/>
    <w:rsid w:val="00ED4F6B"/>
    <w:rsid w:val="00EE2F5F"/>
    <w:rsid w:val="3CBCD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5EDF"/>
  <w15:chartTrackingRefBased/>
  <w15:docId w15:val="{D604C6B5-1A79-45F3-966F-C680013E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3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57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://dx.doi.org/10.1287/opre.41.3.435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oracle.com/mx/applications/crystalball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D5752-DEF1-4CCB-8AA1-460BCFCA99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ELVIRA TATIANA MERINO BENITEZ</dc:creator>
  <keywords/>
  <dc:description/>
  <lastModifiedBy>Laboratorio Nacional de las Ciencias de la Sostenibilidad</lastModifiedBy>
  <revision>19</revision>
  <dcterms:created xsi:type="dcterms:W3CDTF">2022-09-26T02:59:00.0000000Z</dcterms:created>
  <dcterms:modified xsi:type="dcterms:W3CDTF">2022-09-27T23:08:48.1029839Z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0b2535e0-2f35-3232-8a18-2af085941d2d</vt:lpwstr>
  </property>
  <property fmtid="{D5CDD505-2E9C-101B-9397-08002B2CF9AE}" pid="24" name="Mendeley Citation Style_1">
    <vt:lpwstr>http://www.zotero.org/styles/apa</vt:lpwstr>
  </property>
</Properties>
</file>