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201A" w14:textId="56B4C46B" w:rsidR="004C03FC" w:rsidRPr="000B31CF" w:rsidRDefault="004C03FC">
      <w:pPr>
        <w:rPr>
          <w:lang w:val="es-ES"/>
        </w:rPr>
      </w:pPr>
      <w:r w:rsidRPr="000B31CF">
        <w:rPr>
          <w:lang w:val="es-ES"/>
        </w:rPr>
        <w:t>Weber</w:t>
      </w:r>
      <w:r w:rsidR="000B31CF">
        <w:rPr>
          <w:lang w:val="es-ES"/>
        </w:rPr>
        <w:t>-</w:t>
      </w:r>
      <w:r w:rsidRPr="000B31CF">
        <w:rPr>
          <w:lang w:val="es-ES"/>
        </w:rPr>
        <w:t>Fechner</w:t>
      </w:r>
    </w:p>
    <w:p w14:paraId="0F7F0B02" w14:textId="1DBAF30D" w:rsidR="007006D4" w:rsidRDefault="00E01EFB" w:rsidP="00EA72FC">
      <w:pPr>
        <w:jc w:val="both"/>
        <w:rPr>
          <w:lang w:val="es-ES"/>
        </w:rPr>
      </w:pPr>
      <w:r>
        <w:rPr>
          <w:lang w:val="es-ES"/>
        </w:rPr>
        <w:t>L</w:t>
      </w:r>
      <w:r w:rsidR="00697B30" w:rsidRPr="00697B30">
        <w:rPr>
          <w:lang w:val="es-ES"/>
        </w:rPr>
        <w:t xml:space="preserve">a </w:t>
      </w:r>
      <w:r w:rsidR="00A831F1">
        <w:rPr>
          <w:lang w:val="es-ES"/>
        </w:rPr>
        <w:t>l</w:t>
      </w:r>
      <w:r w:rsidR="00697B30" w:rsidRPr="00697B30">
        <w:rPr>
          <w:lang w:val="es-ES"/>
        </w:rPr>
        <w:t>ey de Weber-Fechner</w:t>
      </w:r>
      <w:r>
        <w:rPr>
          <w:lang w:val="es-ES"/>
        </w:rPr>
        <w:t xml:space="preserve"> es </w:t>
      </w:r>
      <w:r w:rsidR="00697B30" w:rsidRPr="00697B30">
        <w:rPr>
          <w:lang w:val="es-ES"/>
        </w:rPr>
        <w:t xml:space="preserve">el precepto de la psicofísica que establece la relación logarítmica entre la magnitud de un estímulo y la intensidad de su percepción. </w:t>
      </w:r>
      <w:r w:rsidR="00EA72FC">
        <w:rPr>
          <w:lang w:val="es-ES"/>
        </w:rPr>
        <w:t>Es decir, esta ley corresponde a</w:t>
      </w:r>
      <w:r w:rsidR="00EA72FC" w:rsidRPr="00ED1D5F">
        <w:rPr>
          <w:lang w:val="es-ES"/>
        </w:rPr>
        <w:t xml:space="preserve"> utiliza</w:t>
      </w:r>
      <w:r w:rsidR="00EA72FC">
        <w:rPr>
          <w:lang w:val="es-ES"/>
        </w:rPr>
        <w:t>r</w:t>
      </w:r>
      <w:r w:rsidR="00EA72FC" w:rsidRPr="00ED1D5F">
        <w:rPr>
          <w:lang w:val="es-ES"/>
        </w:rPr>
        <w:t xml:space="preserve"> el conocimiento de la</w:t>
      </w:r>
      <w:r w:rsidR="00EA72FC">
        <w:rPr>
          <w:lang w:val="es-ES"/>
        </w:rPr>
        <w:t>s</w:t>
      </w:r>
      <w:r w:rsidR="00EA72FC" w:rsidRPr="00ED1D5F">
        <w:rPr>
          <w:lang w:val="es-ES"/>
        </w:rPr>
        <w:t xml:space="preserve"> respuesta</w:t>
      </w:r>
      <w:r w:rsidR="00EA72FC">
        <w:rPr>
          <w:lang w:val="es-ES"/>
        </w:rPr>
        <w:t>s</w:t>
      </w:r>
      <w:r w:rsidR="00EA72FC" w:rsidRPr="00ED1D5F">
        <w:rPr>
          <w:lang w:val="es-ES"/>
        </w:rPr>
        <w:t xml:space="preserve"> psicológica</w:t>
      </w:r>
      <w:r w:rsidR="00EA72FC">
        <w:rPr>
          <w:lang w:val="es-ES"/>
        </w:rPr>
        <w:t>s</w:t>
      </w:r>
      <w:r w:rsidR="00EA72FC" w:rsidRPr="00ED1D5F">
        <w:rPr>
          <w:lang w:val="es-ES"/>
        </w:rPr>
        <w:t xml:space="preserve"> de las personas a</w:t>
      </w:r>
      <w:r w:rsidR="00EA72FC">
        <w:rPr>
          <w:lang w:val="es-ES"/>
        </w:rPr>
        <w:t xml:space="preserve"> la </w:t>
      </w:r>
      <w:r w:rsidR="00EA72FC" w:rsidRPr="000B1E66">
        <w:rPr>
          <w:lang w:val="es-ES"/>
        </w:rPr>
        <w:t xml:space="preserve">variación de un estímulo físico para definir los rangos de datos apropiados </w:t>
      </w:r>
      <w:r w:rsidR="00EA72FC">
        <w:rPr>
          <w:lang w:val="es-ES"/>
        </w:rPr>
        <w:t xml:space="preserve">que determinen una categoría. </w:t>
      </w:r>
      <w:r w:rsidR="00EA72FC" w:rsidRPr="000B1E66">
        <w:rPr>
          <w:lang w:val="es-ES"/>
        </w:rPr>
        <w:t xml:space="preserve"> </w:t>
      </w:r>
    </w:p>
    <w:p w14:paraId="4DABFCDE" w14:textId="6E0F4060" w:rsidR="00A42AE1" w:rsidRDefault="007006D4" w:rsidP="00EA72FC">
      <w:pPr>
        <w:jc w:val="both"/>
        <w:rPr>
          <w:lang w:val="es-ES"/>
        </w:rPr>
      </w:pPr>
      <w:r>
        <w:rPr>
          <w:lang w:val="es-ES"/>
        </w:rPr>
        <w:t xml:space="preserve">Esta ley </w:t>
      </w:r>
      <w:r w:rsidRPr="007006D4">
        <w:rPr>
          <w:lang w:val="es-ES"/>
        </w:rPr>
        <w:t>afirma que un cambio</w:t>
      </w:r>
      <w:r>
        <w:rPr>
          <w:lang w:val="es-ES"/>
        </w:rPr>
        <w:t xml:space="preserve"> </w:t>
      </w:r>
      <w:r w:rsidRPr="007006D4">
        <w:rPr>
          <w:lang w:val="es-ES"/>
        </w:rPr>
        <w:t xml:space="preserve">en </w:t>
      </w:r>
      <w:r w:rsidR="00A42AE1">
        <w:rPr>
          <w:lang w:val="es-ES"/>
        </w:rPr>
        <w:t>la magnitud de</w:t>
      </w:r>
      <w:r w:rsidRPr="007006D4">
        <w:rPr>
          <w:lang w:val="es-ES"/>
        </w:rPr>
        <w:t xml:space="preserve"> estímulo</w:t>
      </w:r>
      <w:r w:rsidR="00A42AE1">
        <w:rPr>
          <w:lang w:val="es-ES"/>
        </w:rPr>
        <w:t xml:space="preserve">, </w:t>
      </w:r>
      <m:oMath>
        <m:r>
          <w:rPr>
            <w:rFonts w:ascii="Cambria Math" w:hAnsi="Cambria Math"/>
            <w:lang w:val="es-ES"/>
          </w:rPr>
          <m:t>∆s</m:t>
        </m:r>
      </m:oMath>
      <w:r w:rsidR="00A42AE1">
        <w:rPr>
          <w:lang w:val="es-ES"/>
        </w:rPr>
        <w:t>, s</w:t>
      </w:r>
      <w:r w:rsidRPr="007006D4">
        <w:rPr>
          <w:lang w:val="es-ES"/>
        </w:rPr>
        <w:t>e puede notar solo después de que aumenta en un porcentaje constante, llamado "diferencia apenas perceptible"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just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noticeable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difference</w:t>
      </w:r>
      <w:proofErr w:type="spellEnd"/>
      <w:r>
        <w:rPr>
          <w:lang w:val="es-ES"/>
        </w:rPr>
        <w:t xml:space="preserve">, por su nombre en inglés). </w:t>
      </w:r>
      <w:r w:rsidRPr="007006D4">
        <w:rPr>
          <w:lang w:val="es-ES"/>
        </w:rPr>
        <w:t xml:space="preserve">Esto significa que mientras </w:t>
      </w:r>
      <w:r w:rsidR="002530E3">
        <w:rPr>
          <w:lang w:val="es-ES"/>
        </w:rPr>
        <w:t xml:space="preserve">que la magnitud de </w:t>
      </w:r>
      <w:r w:rsidRPr="007006D4">
        <w:rPr>
          <w:lang w:val="es-ES"/>
        </w:rPr>
        <w:t>un estímulo varía en progresión geométrica, la percepci</w:t>
      </w:r>
      <w:r w:rsidR="002530E3">
        <w:rPr>
          <w:lang w:val="es-ES"/>
        </w:rPr>
        <w:t>ón de su intensidad</w:t>
      </w:r>
      <w:r w:rsidRPr="007006D4">
        <w:rPr>
          <w:lang w:val="es-ES"/>
        </w:rPr>
        <w:t xml:space="preserve"> varía en progresión aritmética. </w:t>
      </w:r>
    </w:p>
    <w:p w14:paraId="14303EB4" w14:textId="77777777" w:rsidR="002039B1" w:rsidRDefault="00A42AE1" w:rsidP="002039B1">
      <w:pPr>
        <w:jc w:val="both"/>
        <w:rPr>
          <w:lang w:val="es-ES"/>
        </w:rPr>
      </w:pPr>
      <w:r>
        <w:rPr>
          <w:lang w:val="es-ES"/>
        </w:rPr>
        <w:t>L</w:t>
      </w:r>
      <w:r w:rsidR="007006D4" w:rsidRPr="007006D4">
        <w:rPr>
          <w:lang w:val="es-ES"/>
        </w:rPr>
        <w:t xml:space="preserve">a relación, </w:t>
      </w:r>
      <m:oMath>
        <m:r>
          <w:rPr>
            <w:rFonts w:ascii="Cambria Math" w:hAnsi="Cambria Math"/>
            <w:lang w:val="es-ES"/>
          </w:rPr>
          <m:t>r</m:t>
        </m:r>
      </m:oMath>
      <w:r>
        <w:rPr>
          <w:rFonts w:eastAsiaTheme="minorEastAsia"/>
          <w:lang w:val="es-ES"/>
        </w:rPr>
        <w:t>,</w:t>
      </w:r>
      <w:r w:rsidRPr="007006D4">
        <w:rPr>
          <w:lang w:val="es-ES"/>
        </w:rPr>
        <w:t xml:space="preserve"> </w:t>
      </w:r>
      <w:r w:rsidR="007006D4" w:rsidRPr="007006D4">
        <w:rPr>
          <w:lang w:val="es-ES"/>
        </w:rPr>
        <w:t xml:space="preserve">entre </w:t>
      </w:r>
      <m:oMath>
        <m:r>
          <w:rPr>
            <w:rFonts w:ascii="Cambria Math" w:hAnsi="Cambria Math"/>
            <w:lang w:val="es-ES"/>
          </w:rPr>
          <m:t>∆s</m:t>
        </m:r>
      </m:oMath>
      <w:r w:rsidR="007006D4" w:rsidRPr="007006D4">
        <w:rPr>
          <w:lang w:val="es-ES"/>
        </w:rPr>
        <w:t xml:space="preserve"> y un estímulo </w:t>
      </w:r>
      <m:oMath>
        <m:r>
          <w:rPr>
            <w:rFonts w:ascii="Cambria Math" w:hAnsi="Cambria Math"/>
            <w:lang w:val="es-ES"/>
          </w:rPr>
          <m:t>s</m:t>
        </m:r>
      </m:oMath>
      <w:r w:rsidR="007006D4" w:rsidRPr="007006D4">
        <w:rPr>
          <w:lang w:val="es-ES"/>
        </w:rPr>
        <w:t xml:space="preserve"> </w:t>
      </w:r>
      <w:r w:rsidR="00E861B4">
        <w:rPr>
          <w:lang w:val="es-ES"/>
        </w:rPr>
        <w:t xml:space="preserve">de </w:t>
      </w:r>
      <w:r w:rsidR="00E861B4" w:rsidRPr="007006D4">
        <w:rPr>
          <w:lang w:val="es-ES"/>
        </w:rPr>
        <w:t>intensidad</w:t>
      </w:r>
      <w:r w:rsidR="00E861B4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v</m:t>
        </m:r>
      </m:oMath>
      <w:r w:rsidR="00E861B4">
        <w:rPr>
          <w:lang w:val="es-ES"/>
        </w:rPr>
        <w:t xml:space="preserve"> </w:t>
      </w:r>
      <w:r w:rsidR="007006D4" w:rsidRPr="007006D4">
        <w:rPr>
          <w:lang w:val="es-ES"/>
        </w:rPr>
        <w:t>es una constante</w:t>
      </w:r>
      <w:r>
        <w:rPr>
          <w:lang w:val="es-ES"/>
        </w:rPr>
        <w:t xml:space="preserve"> llamada Factor de Progresión</w:t>
      </w:r>
      <w:r w:rsidR="00660BE3">
        <w:rPr>
          <w:lang w:val="es-ES"/>
        </w:rPr>
        <w:t xml:space="preserve"> (FP)</w:t>
      </w:r>
      <w:r w:rsidR="00E861B4">
        <w:rPr>
          <w:lang w:val="es-ES"/>
        </w:rPr>
        <w:t>, la cual se obtiene con la siguiente ecuación</w:t>
      </w:r>
      <w:r w:rsidR="007006D4" w:rsidRPr="007006D4">
        <w:rPr>
          <w:lang w:val="es-ES"/>
        </w:rPr>
        <w:t>:</w:t>
      </w:r>
    </w:p>
    <w:p w14:paraId="2576601C" w14:textId="28A67055" w:rsidR="007006D4" w:rsidRDefault="00E861B4" w:rsidP="002039B1">
      <w:pPr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∆s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v</m:t>
                  </m:r>
                </m:sub>
              </m:sSub>
            </m:den>
          </m:f>
        </m:oMath>
      </m:oMathPara>
    </w:p>
    <w:p w14:paraId="7233F877" w14:textId="18C20963" w:rsidR="002039B1" w:rsidRDefault="002039B1" w:rsidP="00660BE3">
      <w:pPr>
        <w:rPr>
          <w:lang w:val="es-ES"/>
        </w:rPr>
      </w:pPr>
      <w:r w:rsidRPr="002039B1">
        <w:rPr>
          <w:lang w:val="es-ES"/>
        </w:rPr>
        <w:t xml:space="preserve">La relación entre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∆s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</m:oMath>
      <w:r w:rsidRPr="002039B1">
        <w:rPr>
          <w:lang w:val="es-ES"/>
        </w:rPr>
        <w:t xml:space="preserve"> al corte que ningún estímulo puede ser</w:t>
      </w:r>
      <w:r>
        <w:rPr>
          <w:lang w:val="es-ES"/>
        </w:rPr>
        <w:t xml:space="preserve"> </w:t>
      </w:r>
      <w:r w:rsidRPr="002039B1">
        <w:rPr>
          <w:lang w:val="es-ES"/>
        </w:rPr>
        <w:t xml:space="preserve">percibido en absoluto,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Pr="002039B1">
        <w:rPr>
          <w:lang w:val="es-ES"/>
        </w:rPr>
        <w:t>, se calcula mediante</w:t>
      </w:r>
      <w:r>
        <w:rPr>
          <w:lang w:val="es-ES"/>
        </w:rPr>
        <w:t xml:space="preserve"> </w:t>
      </w:r>
    </w:p>
    <w:p w14:paraId="0C91F600" w14:textId="5B7B0110" w:rsidR="002039B1" w:rsidRDefault="00000000" w:rsidP="002039B1">
      <w:pPr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(1+r)</m:t>
            </m:r>
          </m:e>
          <m:sup>
            <m:r>
              <w:rPr>
                <w:rFonts w:ascii="Cambria Math" w:hAnsi="Cambria Math"/>
                <w:lang w:val="es-ES"/>
              </w:rPr>
              <m:t>v</m:t>
            </m:r>
          </m:sup>
        </m:sSup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     v=1,2, …, V</m:t>
        </m:r>
      </m:oMath>
      <w:r w:rsidR="002039B1">
        <w:rPr>
          <w:rFonts w:eastAsiaTheme="minorEastAsia"/>
          <w:lang w:val="es-ES"/>
        </w:rPr>
        <w:t xml:space="preserve"> </w:t>
      </w:r>
    </w:p>
    <w:p w14:paraId="36A29FAF" w14:textId="3D18D8FA" w:rsidR="002039B1" w:rsidRPr="009244FD" w:rsidRDefault="002039B1" w:rsidP="009244F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Y el valor 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rFonts w:eastAsiaTheme="minorEastAsia"/>
          <w:lang w:val="es-ES"/>
        </w:rPr>
        <w:t xml:space="preserve"> es relativo al nivel máximo del estímulo, o bien, el número máximo de categorías que se desea obtener.</w:t>
      </w:r>
      <w:r w:rsidR="004A37F4">
        <w:rPr>
          <w:rFonts w:eastAsiaTheme="minorEastAsia"/>
          <w:lang w:val="es-ES"/>
        </w:rPr>
        <w:t xml:space="preserve"> Supongamos que queremos hacer una categorización con dos cortes (tres categorías), entonces</w:t>
      </w:r>
      <w:r w:rsidR="004A37F4" w:rsidRPr="004A37F4">
        <w:rPr>
          <w:rFonts w:ascii="Cambria Math" w:hAnsi="Cambria Math"/>
          <w:i/>
          <w:lang w:val="es-E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p>
              </m:sSup>
            </m:den>
          </m:f>
        </m:oMath>
      </m:oMathPara>
    </w:p>
    <w:p w14:paraId="238D1EA8" w14:textId="77777777" w:rsidR="004B1D39" w:rsidRDefault="004B1D39" w:rsidP="00521CC8">
      <w:pPr>
        <w:rPr>
          <w:lang w:val="es-ES"/>
        </w:rPr>
      </w:pPr>
    </w:p>
    <w:p w14:paraId="57BE3B05" w14:textId="30F7C5D7" w:rsidR="00521CC8" w:rsidRDefault="004B1D39" w:rsidP="00521CC8">
      <w:pPr>
        <w:rPr>
          <w:lang w:val="es-ES"/>
        </w:rPr>
      </w:pPr>
      <w:r>
        <w:rPr>
          <w:lang w:val="es-ES"/>
        </w:rPr>
        <w:t>Descarga [aquí] el</w:t>
      </w:r>
      <w:r w:rsidR="00521CC8" w:rsidRPr="00521CC8">
        <w:rPr>
          <w:lang w:val="es-ES"/>
        </w:rPr>
        <w:t xml:space="preserve"> a</w:t>
      </w:r>
      <w:r w:rsidR="00521CC8">
        <w:rPr>
          <w:lang w:val="es-ES"/>
        </w:rPr>
        <w:t xml:space="preserve">rchivo en Excel </w:t>
      </w:r>
      <w:r>
        <w:rPr>
          <w:lang w:val="es-ES"/>
        </w:rPr>
        <w:t xml:space="preserve">interactivo </w:t>
      </w:r>
      <w:r w:rsidR="00521CC8">
        <w:rPr>
          <w:lang w:val="es-ES"/>
        </w:rPr>
        <w:t>que te permite calcular cortes de categorías de acuerdo con la ley de Weber-Fechner</w:t>
      </w:r>
      <w:r>
        <w:rPr>
          <w:lang w:val="es-ES"/>
        </w:rPr>
        <w:t xml:space="preserve">. </w:t>
      </w:r>
      <w:r w:rsidR="00521CC8">
        <w:rPr>
          <w:lang w:val="es-ES"/>
        </w:rPr>
        <w:t>E</w:t>
      </w:r>
      <w:r>
        <w:rPr>
          <w:lang w:val="es-ES"/>
        </w:rPr>
        <w:t xml:space="preserve">ste </w:t>
      </w:r>
      <w:r w:rsidR="00521CC8">
        <w:rPr>
          <w:lang w:val="es-ES"/>
        </w:rPr>
        <w:t xml:space="preserve">archivo </w:t>
      </w:r>
      <w:r>
        <w:rPr>
          <w:lang w:val="es-ES"/>
        </w:rPr>
        <w:t xml:space="preserve">es interactivo porque </w:t>
      </w:r>
      <w:r w:rsidR="00521CC8">
        <w:rPr>
          <w:lang w:val="es-ES"/>
        </w:rPr>
        <w:t>puedes variar el número de categorías que deseas obtener, así como el FP</w:t>
      </w:r>
      <w:r>
        <w:rPr>
          <w:lang w:val="es-ES"/>
        </w:rPr>
        <w:t xml:space="preserve">, </w:t>
      </w:r>
      <w:r>
        <w:rPr>
          <w:lang w:val="es-ES"/>
        </w:rPr>
        <w:t>y graficar la escala resultante</w:t>
      </w:r>
      <w:r w:rsidR="00521CC8">
        <w:rPr>
          <w:lang w:val="es-ES"/>
        </w:rPr>
        <w:t xml:space="preserve">. La </w:t>
      </w:r>
      <w:r>
        <w:rPr>
          <w:lang w:val="es-ES"/>
        </w:rPr>
        <w:t>modificación</w:t>
      </w:r>
      <w:r w:rsidR="00521CC8" w:rsidRPr="00697B30">
        <w:rPr>
          <w:lang w:val="es-ES"/>
        </w:rPr>
        <w:t xml:space="preserve"> del FP permite explorar</w:t>
      </w:r>
      <w:r w:rsidR="00521CC8">
        <w:rPr>
          <w:lang w:val="es-ES"/>
        </w:rPr>
        <w:t xml:space="preserve"> desde</w:t>
      </w:r>
      <w:r w:rsidR="00521CC8" w:rsidRPr="00697B30">
        <w:rPr>
          <w:lang w:val="es-ES"/>
        </w:rPr>
        <w:t xml:space="preserve"> </w:t>
      </w:r>
      <w:r w:rsidR="00521CC8">
        <w:rPr>
          <w:lang w:val="es-ES"/>
        </w:rPr>
        <w:t xml:space="preserve">un </w:t>
      </w:r>
      <w:r w:rsidR="00521CC8" w:rsidRPr="00697B30">
        <w:rPr>
          <w:lang w:val="es-ES"/>
        </w:rPr>
        <w:t>esquema</w:t>
      </w:r>
      <w:r w:rsidR="00521CC8">
        <w:rPr>
          <w:lang w:val="es-ES"/>
        </w:rPr>
        <w:t xml:space="preserve"> </w:t>
      </w:r>
      <w:r w:rsidR="00521CC8" w:rsidRPr="00697B30">
        <w:rPr>
          <w:lang w:val="es-ES"/>
        </w:rPr>
        <w:t xml:space="preserve">equidistante (FP=1) </w:t>
      </w:r>
      <w:r w:rsidR="00521CC8">
        <w:rPr>
          <w:lang w:val="es-ES"/>
        </w:rPr>
        <w:t>hast</w:t>
      </w:r>
      <w:r w:rsidR="00521CC8" w:rsidRPr="00697B30">
        <w:rPr>
          <w:lang w:val="es-ES"/>
        </w:rPr>
        <w:t>a uno basado en las reglas de estímulo-respuesta de la psicología (FP=2).</w:t>
      </w:r>
    </w:p>
    <w:p w14:paraId="4F9FF51C" w14:textId="77777777" w:rsidR="00C4726F" w:rsidRDefault="00C4726F" w:rsidP="00521CC8">
      <w:pPr>
        <w:rPr>
          <w:lang w:val="es-ES"/>
        </w:rPr>
      </w:pPr>
    </w:p>
    <w:p w14:paraId="141D8223" w14:textId="282D8328" w:rsidR="000C3267" w:rsidRPr="009244FD" w:rsidRDefault="00C86261">
      <w:pPr>
        <w:rPr>
          <w:lang w:val="es-ES"/>
        </w:rPr>
      </w:pPr>
      <w:r w:rsidRPr="009244FD">
        <w:rPr>
          <w:lang w:val="es-ES"/>
        </w:rPr>
        <w:t xml:space="preserve">Referencias: </w:t>
      </w:r>
    </w:p>
    <w:p w14:paraId="6D1B4DB9" w14:textId="77777777" w:rsidR="002F5D0C" w:rsidRPr="00653B54" w:rsidRDefault="002F5D0C" w:rsidP="002F5D0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 w:rsidRPr="00653B54">
        <w:rPr>
          <w:rFonts w:ascii="Calibri" w:hAnsi="Calibri" w:cs="Calibri"/>
          <w:noProof/>
          <w:szCs w:val="24"/>
          <w:lang w:val="es-ES"/>
        </w:rPr>
        <w:t xml:space="preserve">Bojórquez-Tapia, L. A., Cruz-Bello, G. M., &amp; Luna-González, L. (2013). </w:t>
      </w:r>
      <w:r w:rsidRPr="00653B54">
        <w:rPr>
          <w:rFonts w:ascii="Calibri" w:hAnsi="Calibri" w:cs="Calibri"/>
          <w:noProof/>
          <w:szCs w:val="24"/>
        </w:rPr>
        <w:t xml:space="preserve">Connotative land degradation mapping: A knowledge-based approach to land degradation assessment. </w:t>
      </w:r>
      <w:r w:rsidRPr="00653B54">
        <w:rPr>
          <w:rFonts w:ascii="Calibri" w:hAnsi="Calibri" w:cs="Calibri"/>
          <w:i/>
          <w:iCs/>
          <w:noProof/>
          <w:szCs w:val="24"/>
        </w:rPr>
        <w:t>Environmental Modelling and Software</w:t>
      </w:r>
      <w:r w:rsidRPr="00653B54">
        <w:rPr>
          <w:rFonts w:ascii="Calibri" w:hAnsi="Calibri" w:cs="Calibri"/>
          <w:noProof/>
          <w:szCs w:val="24"/>
        </w:rPr>
        <w:t xml:space="preserve">, </w:t>
      </w:r>
      <w:r w:rsidRPr="00653B54">
        <w:rPr>
          <w:rFonts w:ascii="Calibri" w:hAnsi="Calibri" w:cs="Calibri"/>
          <w:i/>
          <w:iCs/>
          <w:noProof/>
          <w:szCs w:val="24"/>
        </w:rPr>
        <w:t>40</w:t>
      </w:r>
      <w:r w:rsidRPr="00653B54">
        <w:rPr>
          <w:rFonts w:ascii="Calibri" w:hAnsi="Calibri" w:cs="Calibri"/>
          <w:noProof/>
          <w:szCs w:val="24"/>
        </w:rPr>
        <w:t>, 51–64. https://doi.org/10.1016/j.envsoft.2012.07.009</w:t>
      </w:r>
    </w:p>
    <w:p w14:paraId="4B81B4A8" w14:textId="77777777" w:rsidR="002F5D0C" w:rsidRPr="00653B54" w:rsidRDefault="002F5D0C" w:rsidP="002F5D0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rPr>
          <w:noProof/>
        </w:rPr>
        <w:fldChar w:fldCharType="begin" w:fldLock="1"/>
      </w:r>
      <w:r>
        <w:rPr>
          <w:noProof/>
        </w:rPr>
        <w:instrText xml:space="preserve">ADDIN Mendeley Bibliography CSL_BIBLIOGRAPHY </w:instrText>
      </w:r>
      <w:r>
        <w:rPr>
          <w:noProof/>
        </w:rPr>
        <w:fldChar w:fldCharType="separate"/>
      </w:r>
      <w:r w:rsidRPr="00653B54">
        <w:rPr>
          <w:rFonts w:ascii="Calibri" w:hAnsi="Calibri" w:cs="Calibri"/>
          <w:noProof/>
          <w:szCs w:val="24"/>
        </w:rPr>
        <w:t xml:space="preserve">Lootsma, F. A. (1999). Multi-Criteria Decision Analysis via Ratio and Difference Judgement Applicd Optimization. In </w:t>
      </w:r>
      <w:r w:rsidRPr="00653B54">
        <w:rPr>
          <w:rFonts w:ascii="Calibri" w:hAnsi="Calibri" w:cs="Calibri"/>
          <w:i/>
          <w:iCs/>
          <w:noProof/>
          <w:szCs w:val="24"/>
        </w:rPr>
        <w:t>Optimization</w:t>
      </w:r>
      <w:r w:rsidRPr="00653B54">
        <w:rPr>
          <w:rFonts w:ascii="Calibri" w:hAnsi="Calibri" w:cs="Calibri"/>
          <w:noProof/>
          <w:szCs w:val="24"/>
        </w:rPr>
        <w:t>.</w:t>
      </w:r>
    </w:p>
    <w:p w14:paraId="4CE8342B" w14:textId="49FC7403" w:rsidR="00653B54" w:rsidRPr="00C86261" w:rsidRDefault="002F5D0C" w:rsidP="002F5D0C">
      <w:pPr>
        <w:rPr>
          <w:noProof/>
        </w:rPr>
      </w:pPr>
      <w:r>
        <w:rPr>
          <w:noProof/>
        </w:rPr>
        <w:fldChar w:fldCharType="end"/>
      </w:r>
    </w:p>
    <w:sectPr w:rsidR="00653B54" w:rsidRPr="00C8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FC"/>
    <w:rsid w:val="0000676A"/>
    <w:rsid w:val="000B1E66"/>
    <w:rsid w:val="000B31CF"/>
    <w:rsid w:val="000C3267"/>
    <w:rsid w:val="00172623"/>
    <w:rsid w:val="001953F3"/>
    <w:rsid w:val="002039B1"/>
    <w:rsid w:val="002530E3"/>
    <w:rsid w:val="002A1DA9"/>
    <w:rsid w:val="002F5D0C"/>
    <w:rsid w:val="004A37F4"/>
    <w:rsid w:val="004B1D39"/>
    <w:rsid w:val="004C03FC"/>
    <w:rsid w:val="00521CC8"/>
    <w:rsid w:val="005F3C99"/>
    <w:rsid w:val="00634BB9"/>
    <w:rsid w:val="00653B54"/>
    <w:rsid w:val="00660BE3"/>
    <w:rsid w:val="00697B30"/>
    <w:rsid w:val="007006D4"/>
    <w:rsid w:val="009244FD"/>
    <w:rsid w:val="00A42AE1"/>
    <w:rsid w:val="00A831F1"/>
    <w:rsid w:val="00C4726F"/>
    <w:rsid w:val="00C86261"/>
    <w:rsid w:val="00CE7BBA"/>
    <w:rsid w:val="00E01EFB"/>
    <w:rsid w:val="00E861B4"/>
    <w:rsid w:val="00EA72FC"/>
    <w:rsid w:val="00E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0A0D"/>
  <w15:chartTrackingRefBased/>
  <w15:docId w15:val="{7228B559-0301-4D22-9AF8-865B3063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6E73A-108C-4B62-ACF8-AE12414F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TATIANA MERINO BENITEZ</dc:creator>
  <cp:keywords/>
  <dc:description/>
  <cp:lastModifiedBy>ELVIRA TATIANA MERINO BENITEZ</cp:lastModifiedBy>
  <cp:revision>17</cp:revision>
  <dcterms:created xsi:type="dcterms:W3CDTF">2022-09-25T21:07:00Z</dcterms:created>
  <dcterms:modified xsi:type="dcterms:W3CDTF">2022-10-01T18:52:00Z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0b2535e0-2f35-3232-8a18-2af085941d2d</vt:lpwstr>
  </property>
  <property fmtid="{D5CDD505-2E9C-101B-9397-08002B2CF9AE}" pid="24" name="Mendeley Citation Style_1">
    <vt:lpwstr>http://www.zotero.org/styles/apa</vt:lpwstr>
  </property>
</Properties>
</file>