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2B7FC2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a3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a3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a3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2B7FC2" w:rsidP="004F660C">
      <w:pPr>
        <w:spacing w:before="120" w:after="0"/>
        <w:ind w:right="2394"/>
        <w:jc w:val="right"/>
        <w:rPr>
          <w:rStyle w:val="a3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a3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a4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a4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a4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7E6767AF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="001A6388">
        <w:rPr>
          <w:rFonts w:ascii="Garamond" w:hAnsi="Garamond"/>
          <w:sz w:val="24"/>
          <w:szCs w:val="24"/>
          <w:lang w:eastAsia="zh-CN"/>
        </w:rPr>
        <w:t>1</w:t>
      </w:r>
      <w:r w:rsidR="00A03098">
        <w:rPr>
          <w:rFonts w:ascii="Garamond" w:hAnsi="Garamond"/>
          <w:sz w:val="24"/>
          <w:szCs w:val="24"/>
          <w:lang w:eastAsia="zh-CN"/>
        </w:rPr>
        <w:t>4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1A6388">
        <w:rPr>
          <w:rFonts w:ascii="Garamond" w:hAnsi="Garamond" w:hint="eastAsia"/>
          <w:sz w:val="24"/>
          <w:szCs w:val="24"/>
          <w:lang w:eastAsia="zh-CN"/>
        </w:rPr>
        <w:t>第一</w:t>
      </w:r>
      <w:r w:rsidR="001A6388">
        <w:rPr>
          <w:rFonts w:ascii="Garamond" w:hAnsi="Garamond" w:hint="eastAsia"/>
          <w:sz w:val="24"/>
          <w:szCs w:val="24"/>
          <w:lang w:eastAsia="zh-CN"/>
        </w:rPr>
        <w:t>/</w:t>
      </w:r>
      <w:r w:rsidR="001A6388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1A6388">
        <w:rPr>
          <w:rFonts w:ascii="Garamond" w:hAnsi="Garamond" w:hint="eastAsia"/>
          <w:sz w:val="24"/>
          <w:szCs w:val="24"/>
          <w:lang w:eastAsia="zh-CN"/>
        </w:rPr>
        <w:t>6</w:t>
      </w:r>
      <w:r w:rsidR="001A6388">
        <w:rPr>
          <w:rFonts w:ascii="Garamond" w:hAnsi="Garamond" w:hint="eastAsia"/>
          <w:sz w:val="24"/>
          <w:szCs w:val="24"/>
          <w:lang w:eastAsia="zh-CN"/>
        </w:rPr>
        <w:t>篇，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a3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a3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0927B0">
        <w:fldChar w:fldCharType="begin"/>
      </w:r>
      <w:r w:rsidR="000927B0" w:rsidRPr="00231874">
        <w:rPr>
          <w:lang w:val="nl-NL"/>
        </w:rPr>
        <w:instrText xml:space="preserve"> HYPERLINK "https://doi.org/10.1016/j.jag.2022.103048" </w:instrText>
      </w:r>
      <w:r w:rsidR="000927B0">
        <w:fldChar w:fldCharType="separate"/>
      </w:r>
      <w:r w:rsidR="00A92286" w:rsidRPr="00EA1989">
        <w:rPr>
          <w:rStyle w:val="a3"/>
          <w:rFonts w:ascii="Garamond" w:hAnsi="Garamond"/>
          <w:sz w:val="24"/>
          <w:szCs w:val="24"/>
          <w:lang w:val="nl-NL" w:eastAsia="zh-CN"/>
        </w:rPr>
        <w:t>10.1016/j.jag.2022.103048</w:t>
      </w:r>
      <w:r w:rsidR="000927B0">
        <w:rPr>
          <w:rStyle w:val="a3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137A72CF" w:rsidR="00BE7BE3" w:rsidRDefault="005C786F" w:rsidP="00563E25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A92286" w:rsidRPr="00A92286">
          <w:rPr>
            <w:rStyle w:val="a3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5B932958" w14:textId="10627A39" w:rsidR="00231874" w:rsidRPr="00231874" w:rsidRDefault="00231874" w:rsidP="00231874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2" w:history="1">
        <w:r w:rsidRPr="008C2956">
          <w:rPr>
            <w:rStyle w:val="a3"/>
            <w:rFonts w:ascii="Garamond" w:hAnsi="Garamond"/>
            <w:sz w:val="24"/>
            <w:szCs w:val="24"/>
          </w:rPr>
          <w:t>10.1016/j.jenvman.2023.118706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115B88">
        <w:rPr>
          <w:rFonts w:ascii="Garamond" w:hAnsi="Garamond" w:hint="eastAsia"/>
          <w:sz w:val="24"/>
          <w:szCs w:val="24"/>
        </w:rPr>
        <w:t>[S</w:t>
      </w:r>
      <w:r w:rsidRPr="007C60AC">
        <w:rPr>
          <w:rFonts w:ascii="Garamond" w:hAnsi="Garamond" w:hint="eastAsia"/>
          <w:sz w:val="24"/>
          <w:szCs w:val="24"/>
        </w:rPr>
        <w:t xml:space="preserve">CI, </w:t>
      </w:r>
      <w:r w:rsidRPr="007C60AC">
        <w:rPr>
          <w:rFonts w:ascii="Garamond" w:hAnsi="Garamond" w:hint="eastAsia"/>
          <w:sz w:val="24"/>
          <w:szCs w:val="24"/>
        </w:rPr>
        <w:t>中科院</w:t>
      </w:r>
      <w:r>
        <w:rPr>
          <w:rFonts w:ascii="Garamond" w:hAnsi="Garamond"/>
          <w:sz w:val="24"/>
          <w:szCs w:val="24"/>
        </w:rPr>
        <w:t>1</w:t>
      </w:r>
      <w:r w:rsidRPr="007C60AC">
        <w:rPr>
          <w:rFonts w:ascii="Garamond" w:hAnsi="Garamond" w:hint="eastAsia"/>
          <w:sz w:val="24"/>
          <w:szCs w:val="24"/>
        </w:rPr>
        <w:t>区</w:t>
      </w:r>
      <w:r>
        <w:rPr>
          <w:rFonts w:ascii="Garamond" w:hAnsi="Garamond" w:hint="eastAsia"/>
          <w:sz w:val="24"/>
          <w:szCs w:val="24"/>
        </w:rPr>
        <w:t>TOP,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环境管理</w:t>
      </w:r>
      <w:proofErr w:type="spellStart"/>
      <w:r w:rsidRPr="007C60AC">
        <w:rPr>
          <w:rFonts w:ascii="Garamond" w:hAnsi="Garamond" w:hint="eastAsia"/>
          <w:sz w:val="24"/>
          <w:szCs w:val="24"/>
        </w:rPr>
        <w:t>领域知名期刊</w:t>
      </w:r>
      <w:proofErr w:type="spellEnd"/>
      <w:r w:rsidRPr="007C60AC">
        <w:rPr>
          <w:rFonts w:ascii="Garamond" w:hAnsi="Garamond" w:hint="eastAsia"/>
          <w:sz w:val="24"/>
          <w:szCs w:val="24"/>
        </w:rPr>
        <w:t xml:space="preserve">, IF </w:t>
      </w:r>
      <w:r>
        <w:rPr>
          <w:rFonts w:ascii="Garamond" w:hAnsi="Garamond"/>
          <w:sz w:val="24"/>
          <w:szCs w:val="24"/>
        </w:rPr>
        <w:t>8.7</w:t>
      </w:r>
      <w:r w:rsidRPr="007C60AC">
        <w:rPr>
          <w:rFonts w:ascii="Garamond" w:hAnsi="Garamond" w:hint="eastAsia"/>
          <w:sz w:val="24"/>
          <w:szCs w:val="24"/>
        </w:rPr>
        <w:t>]</w:t>
      </w:r>
    </w:p>
    <w:p w14:paraId="337C1C49" w14:textId="5F2B59E8" w:rsidR="00BE7BE3" w:rsidRDefault="00BE7BE3" w:rsidP="00563E25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lastRenderedPageBreak/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r w:rsidR="00E85852">
        <w:rPr>
          <w:rFonts w:ascii="Garamond" w:hAnsi="Garamond"/>
          <w:sz w:val="24"/>
          <w:szCs w:val="24"/>
        </w:rPr>
        <w:t>202</w:t>
      </w:r>
      <w:r w:rsidR="00D75388">
        <w:rPr>
          <w:rFonts w:ascii="Garamond" w:hAnsi="Garamond"/>
          <w:sz w:val="24"/>
          <w:szCs w:val="24"/>
        </w:rPr>
        <w:t>4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324039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>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a3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44F3EC33" w14:textId="5B5C3F29" w:rsidR="00D3564A" w:rsidRDefault="004604FD" w:rsidP="00D3564A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t xml:space="preserve">He, T., Wang, K., Xiao, W.*, Xu, S., </w:t>
      </w:r>
      <w:r w:rsidRPr="008558D9">
        <w:rPr>
          <w:rFonts w:ascii="Garamond" w:hAnsi="Garamond"/>
          <w:b/>
          <w:sz w:val="24"/>
          <w:szCs w:val="24"/>
          <w:u w:val="single"/>
        </w:rPr>
        <w:t>Li, M.</w:t>
      </w:r>
      <w:r w:rsidRPr="004604FD"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 w:rsidRPr="004604FD">
        <w:rPr>
          <w:rFonts w:ascii="Garamond" w:hAnsi="Garamond"/>
          <w:sz w:val="24"/>
          <w:szCs w:val="24"/>
        </w:rPr>
        <w:t>meters</w:t>
      </w:r>
      <w:proofErr w:type="gramEnd"/>
      <w:r w:rsidRPr="004604FD"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4604FD">
          <w:rPr>
            <w:rStyle w:val="a3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CEFF0F1" w14:textId="1B081147" w:rsidR="00A03098" w:rsidRPr="00A03098" w:rsidRDefault="00A03098" w:rsidP="00A03098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751315">
        <w:rPr>
          <w:rFonts w:ascii="Garamond" w:hAnsi="Garamond" w:hint="eastAsia"/>
          <w:sz w:val="24"/>
          <w:szCs w:val="24"/>
        </w:rPr>
        <w:t>Guo</w:t>
      </w:r>
      <w:proofErr w:type="spellEnd"/>
      <w:r w:rsidRPr="00751315">
        <w:rPr>
          <w:rFonts w:ascii="Garamond" w:hAnsi="Garamond" w:hint="eastAsia"/>
          <w:sz w:val="24"/>
          <w:szCs w:val="24"/>
        </w:rPr>
        <w:t>,</w:t>
      </w:r>
      <w:r w:rsidRPr="00751315">
        <w:rPr>
          <w:rFonts w:ascii="Garamond" w:hAnsi="Garamond"/>
          <w:sz w:val="24"/>
          <w:szCs w:val="24"/>
        </w:rPr>
        <w:t xml:space="preserve"> A., He, T., Yue, W., Xiao, W., Yang, J., Zhang, M., &amp; </w:t>
      </w:r>
      <w:r w:rsidRPr="00233182">
        <w:rPr>
          <w:rFonts w:ascii="Garamond" w:hAnsi="Garamond"/>
          <w:b/>
          <w:sz w:val="24"/>
          <w:szCs w:val="24"/>
          <w:u w:val="single"/>
        </w:rPr>
        <w:t>Li, M.</w:t>
      </w:r>
      <w:r w:rsidRPr="00751315">
        <w:rPr>
          <w:rFonts w:ascii="Garamond" w:hAnsi="Garamond"/>
          <w:sz w:val="24"/>
          <w:szCs w:val="24"/>
        </w:rPr>
        <w:t xml:space="preserve"> (2023). Contribution of urban trees in reducing land surface temperature: Evidence from China's major cities. </w:t>
      </w:r>
      <w:r w:rsidRPr="00751315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751315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751315">
        <w:rPr>
          <w:rFonts w:ascii="Garamond" w:hAnsi="Garamond"/>
          <w:sz w:val="24"/>
          <w:szCs w:val="24"/>
        </w:rPr>
        <w:t xml:space="preserve">. DOI: </w:t>
      </w:r>
      <w:hyperlink r:id="rId25" w:history="1">
        <w:r w:rsidRPr="00751315">
          <w:rPr>
            <w:rStyle w:val="a3"/>
            <w:rFonts w:ascii="Garamond" w:hAnsi="Garamond"/>
            <w:sz w:val="24"/>
            <w:szCs w:val="24"/>
          </w:rPr>
          <w:t>10.1016/j.jag.2023.103570</w:t>
        </w:r>
      </w:hyperlink>
    </w:p>
    <w:p w14:paraId="2012ECC5" w14:textId="3E4A56E2" w:rsidR="00D3564A" w:rsidRPr="00D3564A" w:rsidRDefault="00D3564A" w:rsidP="00D3564A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3564A">
        <w:rPr>
          <w:rFonts w:ascii="Garamond" w:hAnsi="Garamond"/>
          <w:sz w:val="24"/>
          <w:szCs w:val="24"/>
        </w:rPr>
        <w:t xml:space="preserve">Lu, Y., He, T.*, Yue, W., </w:t>
      </w:r>
      <w:r w:rsidRPr="00D3564A">
        <w:rPr>
          <w:rFonts w:ascii="Garamond" w:hAnsi="Garamond"/>
          <w:b/>
          <w:sz w:val="24"/>
          <w:szCs w:val="24"/>
          <w:u w:val="single"/>
        </w:rPr>
        <w:t>Li, M.</w:t>
      </w:r>
      <w:r w:rsidRPr="00D3564A">
        <w:rPr>
          <w:rFonts w:ascii="Garamond" w:hAnsi="Garamond"/>
          <w:sz w:val="24"/>
          <w:szCs w:val="24"/>
        </w:rPr>
        <w:t xml:space="preserve">, Shan, Z., &amp; Zhang, M. (2023). Does cropland threaten urban land use efficiency in the </w:t>
      </w:r>
      <w:proofErr w:type="spellStart"/>
      <w:r w:rsidRPr="00D3564A">
        <w:rPr>
          <w:rFonts w:ascii="Garamond" w:hAnsi="Garamond"/>
          <w:sz w:val="24"/>
          <w:szCs w:val="24"/>
        </w:rPr>
        <w:t>peri</w:t>
      </w:r>
      <w:proofErr w:type="spellEnd"/>
      <w:r w:rsidRPr="00D3564A">
        <w:rPr>
          <w:rFonts w:ascii="Garamond" w:hAnsi="Garamond"/>
          <w:sz w:val="24"/>
          <w:szCs w:val="24"/>
        </w:rPr>
        <w:t xml:space="preserve">-urban area? Evidence from metropolitan areas in China. Applied Geography. DOI: </w:t>
      </w:r>
      <w:hyperlink r:id="rId26" w:history="1">
        <w:r w:rsidRPr="00D3564A">
          <w:rPr>
            <w:rStyle w:val="a3"/>
            <w:rFonts w:ascii="Garamond" w:hAnsi="Garamond"/>
            <w:sz w:val="24"/>
            <w:szCs w:val="24"/>
          </w:rPr>
          <w:t>10.1016/j.apgeog.2023.103124</w:t>
        </w:r>
      </w:hyperlink>
    </w:p>
    <w:p w14:paraId="27420213" w14:textId="0E7CA43E" w:rsidR="00231874" w:rsidRPr="00231874" w:rsidRDefault="00231874" w:rsidP="00231874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7" w:history="1">
        <w:r w:rsidRPr="003878C8">
          <w:rPr>
            <w:rStyle w:val="a3"/>
            <w:rFonts w:ascii="Garamond" w:hAnsi="Garamond"/>
            <w:sz w:val="24"/>
            <w:szCs w:val="24"/>
          </w:rPr>
          <w:t>10.1016/j.jclepro.2023.138154</w:t>
        </w:r>
      </w:hyperlink>
      <w:r w:rsidR="00324039">
        <w:rPr>
          <w:rFonts w:ascii="Garamond" w:hAnsi="Garamond"/>
          <w:sz w:val="24"/>
          <w:szCs w:val="24"/>
        </w:rPr>
        <w:t xml:space="preserve"> </w:t>
      </w:r>
    </w:p>
    <w:p w14:paraId="7938BB91" w14:textId="2FB3C7F5" w:rsidR="005B1F4E" w:rsidRDefault="00061740" w:rsidP="00563E25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8" w:history="1">
        <w:r w:rsidR="005B1F4E" w:rsidRPr="005B1F4E">
          <w:rPr>
            <w:rStyle w:val="a3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F0ABCFA" w14:textId="0544196B" w:rsidR="0053137B" w:rsidRPr="0053137B" w:rsidRDefault="0053137B" w:rsidP="0053137B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Guo</w:t>
      </w:r>
      <w:proofErr w:type="spellEnd"/>
      <w:r>
        <w:rPr>
          <w:rFonts w:ascii="Garamond" w:hAnsi="Garamond"/>
          <w:sz w:val="24"/>
          <w:szCs w:val="24"/>
        </w:rPr>
        <w:t xml:space="preserve">, A., Yue, W.*, Yang, J., </w:t>
      </w:r>
      <w:r w:rsidRPr="001C307C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Xie</w:t>
      </w:r>
      <w:proofErr w:type="spellEnd"/>
      <w:r>
        <w:rPr>
          <w:rFonts w:ascii="Garamond" w:hAnsi="Garamond"/>
          <w:sz w:val="24"/>
          <w:szCs w:val="24"/>
        </w:rPr>
        <w:t xml:space="preserve">, P., He, T., Zhang, M., &amp; Yu, H. (2023). </w:t>
      </w:r>
      <w:r w:rsidRPr="005A711A">
        <w:rPr>
          <w:rFonts w:ascii="Garamond" w:hAnsi="Garamond"/>
          <w:sz w:val="24"/>
          <w:szCs w:val="24"/>
        </w:rPr>
        <w:t>Quantifying the impact of urban ventilation corridors on thermal environment in Chinese megacities</w:t>
      </w:r>
      <w:r>
        <w:rPr>
          <w:rFonts w:ascii="Garamond" w:hAnsi="Garamond"/>
          <w:sz w:val="24"/>
          <w:szCs w:val="24"/>
        </w:rPr>
        <w:t xml:space="preserve">. </w:t>
      </w:r>
      <w:r w:rsidRPr="0053137B">
        <w:rPr>
          <w:rFonts w:ascii="Garamond" w:hAnsi="Garamond"/>
          <w:i/>
          <w:sz w:val="24"/>
          <w:szCs w:val="24"/>
        </w:rPr>
        <w:t>Ecological Indicators</w:t>
      </w:r>
      <w:r>
        <w:rPr>
          <w:rFonts w:ascii="Garamond" w:hAnsi="Garamond"/>
          <w:sz w:val="24"/>
          <w:szCs w:val="24"/>
        </w:rPr>
        <w:t xml:space="preserve">. DOI: </w:t>
      </w:r>
      <w:hyperlink r:id="rId29" w:history="1">
        <w:r w:rsidRPr="0053137B">
          <w:rPr>
            <w:rStyle w:val="a3"/>
            <w:rFonts w:ascii="Garamond" w:hAnsi="Garamond"/>
            <w:sz w:val="24"/>
            <w:szCs w:val="24"/>
          </w:rPr>
          <w:t>10.1016/j.ecolind.2023.111072</w:t>
        </w:r>
      </w:hyperlink>
    </w:p>
    <w:p w14:paraId="1A3A0A84" w14:textId="52CC1408" w:rsidR="00061740" w:rsidRPr="00580837" w:rsidRDefault="00061740" w:rsidP="00563E25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30" w:history="1">
        <w:r w:rsidR="005B1F4E" w:rsidRPr="005B1F4E">
          <w:rPr>
            <w:rStyle w:val="a3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7B9EF1D" w14:textId="03DA96F3" w:rsidR="007769E1" w:rsidRDefault="00C80373" w:rsidP="007769E1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31" w:history="1">
        <w:r w:rsidR="005B1F4E" w:rsidRPr="005B1F4E">
          <w:rPr>
            <w:rStyle w:val="a3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0359B5F1" w14:textId="64696404" w:rsidR="00375383" w:rsidRPr="00375383" w:rsidRDefault="00EC179B" w:rsidP="00375383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于明含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王德英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(2016). </w:t>
      </w:r>
      <w:r w:rsidRPr="00CB5341">
        <w:rPr>
          <w:rFonts w:ascii="Garamond" w:hAnsi="Garamond" w:hint="eastAsia"/>
          <w:sz w:val="24"/>
          <w:szCs w:val="24"/>
          <w:lang w:eastAsia="zh-CN"/>
        </w:rPr>
        <w:t>樟子松在中国北方</w:t>
      </w:r>
      <w:r w:rsidRPr="00CB5341">
        <w:rPr>
          <w:rFonts w:ascii="Garamond" w:hAnsi="Garamond" w:hint="eastAsia"/>
          <w:sz w:val="24"/>
          <w:szCs w:val="24"/>
          <w:lang w:eastAsia="zh-CN"/>
        </w:rPr>
        <w:t>10</w:t>
      </w:r>
      <w:r w:rsidRPr="00CB5341">
        <w:rPr>
          <w:rFonts w:ascii="Garamond" w:hAnsi="Garamond" w:hint="eastAsia"/>
          <w:sz w:val="24"/>
          <w:szCs w:val="24"/>
          <w:lang w:eastAsia="zh-CN"/>
        </w:rPr>
        <w:t>省</w:t>
      </w:r>
      <w:r w:rsidRPr="00CB5341">
        <w:rPr>
          <w:rFonts w:ascii="Garamond" w:hAnsi="Garamond" w:hint="eastAsia"/>
          <w:sz w:val="24"/>
          <w:szCs w:val="24"/>
          <w:lang w:eastAsia="zh-CN"/>
        </w:rPr>
        <w:t>(</w:t>
      </w:r>
      <w:r w:rsidRPr="00CB5341">
        <w:rPr>
          <w:rFonts w:ascii="Garamond" w:hAnsi="Garamond" w:hint="eastAsia"/>
          <w:sz w:val="24"/>
          <w:szCs w:val="24"/>
          <w:lang w:eastAsia="zh-CN"/>
        </w:rPr>
        <w:t>区</w:t>
      </w:r>
      <w:r w:rsidRPr="00CB5341">
        <w:rPr>
          <w:rFonts w:ascii="Garamond" w:hAnsi="Garamond" w:hint="eastAsia"/>
          <w:sz w:val="24"/>
          <w:szCs w:val="24"/>
          <w:lang w:eastAsia="zh-CN"/>
        </w:rPr>
        <w:t>)</w:t>
      </w:r>
      <w:r w:rsidRPr="00CB5341">
        <w:rPr>
          <w:rFonts w:ascii="Garamond" w:hAnsi="Garamond" w:hint="eastAsia"/>
          <w:sz w:val="24"/>
          <w:szCs w:val="24"/>
          <w:lang w:eastAsia="zh-CN"/>
        </w:rPr>
        <w:t>引种的适宜性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中国沙漠</w:t>
      </w:r>
      <w:r w:rsidRPr="00CB5341">
        <w:rPr>
          <w:rFonts w:ascii="Garamond" w:hAnsi="Garamond" w:hint="eastAsia"/>
          <w:sz w:val="24"/>
          <w:szCs w:val="24"/>
          <w:lang w:eastAsia="zh-CN"/>
        </w:rPr>
        <w:t>, 36(4), 1021-1028.</w:t>
      </w:r>
      <w:r w:rsidR="0014528F">
        <w:rPr>
          <w:rFonts w:ascii="Garamond" w:hAnsi="Garamond"/>
          <w:sz w:val="24"/>
          <w:szCs w:val="24"/>
          <w:lang w:eastAsia="zh-CN"/>
        </w:rPr>
        <w:t xml:space="preserve"> </w:t>
      </w:r>
      <w:r w:rsidR="0014528F">
        <w:rPr>
          <w:rFonts w:ascii="Garamond" w:hAnsi="Garamond"/>
          <w:sz w:val="24"/>
          <w:szCs w:val="24"/>
        </w:rPr>
        <w:t>DOI:</w:t>
      </w:r>
      <w:r w:rsidR="00375383">
        <w:rPr>
          <w:rFonts w:ascii="Garamond" w:hAnsi="Garamond"/>
          <w:sz w:val="24"/>
          <w:szCs w:val="24"/>
        </w:rPr>
        <w:t xml:space="preserve"> </w:t>
      </w:r>
      <w:hyperlink r:id="rId32" w:history="1">
        <w:r w:rsidR="00375383" w:rsidRPr="00375383">
          <w:rPr>
            <w:rStyle w:val="a3"/>
            <w:rFonts w:ascii="Garamond" w:hAnsi="Garamond"/>
            <w:sz w:val="24"/>
            <w:szCs w:val="24"/>
          </w:rPr>
          <w:t>10.7522/j.issn.1000-694X.2015.00073</w:t>
        </w:r>
      </w:hyperlink>
    </w:p>
    <w:p w14:paraId="3F6702E0" w14:textId="36949463" w:rsidR="00EC179B" w:rsidRDefault="00EC179B" w:rsidP="00EC179B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于娜</w:t>
      </w:r>
      <w:r w:rsidRPr="00CB5341">
        <w:rPr>
          <w:rFonts w:ascii="Garamond" w:hAnsi="Garamond" w:hint="eastAsia"/>
          <w:sz w:val="24"/>
          <w:szCs w:val="24"/>
          <w:lang w:eastAsia="zh-CN"/>
        </w:rPr>
        <w:t>. (2016). D</w:t>
      </w:r>
      <w:r w:rsidR="007223A1">
        <w:rPr>
          <w:rFonts w:ascii="Garamond" w:hAnsi="Garamond"/>
          <w:sz w:val="24"/>
          <w:szCs w:val="24"/>
          <w:lang w:eastAsia="zh-CN"/>
        </w:rPr>
        <w:t>EM</w:t>
      </w:r>
      <w:r w:rsidRPr="00CB5341">
        <w:rPr>
          <w:rFonts w:ascii="Garamond" w:hAnsi="Garamond" w:hint="eastAsia"/>
          <w:sz w:val="24"/>
          <w:szCs w:val="24"/>
          <w:lang w:eastAsia="zh-CN"/>
        </w:rPr>
        <w:t>分辨率对地形因子提取精度的影响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中国水土保持科学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14(5), </w:t>
      </w:r>
      <w:r w:rsidR="00CE3BB8">
        <w:rPr>
          <w:rFonts w:ascii="Garamond" w:hAnsi="Garamond"/>
          <w:sz w:val="24"/>
          <w:szCs w:val="24"/>
          <w:lang w:eastAsia="zh-CN"/>
        </w:rPr>
        <w:t>15-22</w:t>
      </w:r>
      <w:r w:rsidRPr="00CB5341">
        <w:rPr>
          <w:rFonts w:ascii="Garamond" w:hAnsi="Garamond" w:hint="eastAsia"/>
          <w:sz w:val="24"/>
          <w:szCs w:val="24"/>
          <w:lang w:eastAsia="zh-CN"/>
        </w:rPr>
        <w:t>.</w:t>
      </w:r>
      <w:r w:rsidR="00CE3BB8">
        <w:rPr>
          <w:rFonts w:ascii="Garamond" w:hAnsi="Garamond"/>
          <w:sz w:val="24"/>
          <w:szCs w:val="24"/>
          <w:lang w:eastAsia="zh-CN"/>
        </w:rPr>
        <w:t xml:space="preserve"> DOI: </w:t>
      </w:r>
      <w:hyperlink r:id="rId33" w:history="1">
        <w:r w:rsidR="00CE3BB8" w:rsidRPr="00CE3BB8">
          <w:rPr>
            <w:rStyle w:val="a3"/>
            <w:rFonts w:ascii="Garamond" w:hAnsi="Garamond"/>
            <w:sz w:val="24"/>
            <w:szCs w:val="24"/>
            <w:lang w:eastAsia="zh-CN"/>
          </w:rPr>
          <w:t>10.16843/j.sswwc.2016.05.003</w:t>
        </w:r>
      </w:hyperlink>
    </w:p>
    <w:p w14:paraId="73DDA08C" w14:textId="759BAC6F" w:rsidR="00EC179B" w:rsidRDefault="00EC179B" w:rsidP="00EC179B">
      <w:pPr>
        <w:pStyle w:val="a4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岳文泽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周秋实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&amp; </w:t>
      </w:r>
      <w:r>
        <w:rPr>
          <w:rFonts w:ascii="Garamond" w:hAnsi="Garamond" w:hint="eastAsia"/>
          <w:sz w:val="24"/>
          <w:szCs w:val="24"/>
          <w:lang w:eastAsia="zh-CN"/>
        </w:rPr>
        <w:t>张衔春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(2023). </w:t>
      </w:r>
      <w:r w:rsidRPr="00EC179B">
        <w:rPr>
          <w:rFonts w:ascii="Garamond" w:hAnsi="Garamond" w:hint="eastAsia"/>
          <w:sz w:val="24"/>
          <w:szCs w:val="24"/>
          <w:lang w:eastAsia="zh-CN"/>
        </w:rPr>
        <w:t>面向主体功能分区的建设用地评估：模式识别与时空演变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城市规划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 w:rsidR="007223A1">
        <w:rPr>
          <w:rFonts w:ascii="Garamond" w:hAnsi="Garamond"/>
          <w:sz w:val="24"/>
          <w:szCs w:val="24"/>
          <w:lang w:eastAsia="zh-CN"/>
        </w:rPr>
        <w:t xml:space="preserve"> 1-10. DOI: </w:t>
      </w:r>
      <w:hyperlink r:id="rId34" w:history="1">
        <w:r w:rsidR="007223A1" w:rsidRPr="007223A1">
          <w:rPr>
            <w:rStyle w:val="a3"/>
            <w:rFonts w:ascii="Garamond" w:hAnsi="Garamond"/>
            <w:sz w:val="24"/>
            <w:szCs w:val="24"/>
            <w:lang w:eastAsia="zh-CN"/>
          </w:rPr>
          <w:t>10.11819/cpr20231607a</w:t>
        </w:r>
      </w:hyperlink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08DC70CB" w14:textId="77777777" w:rsidR="00305FBA" w:rsidRPr="00B205B7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0BDFBE4B" w14:textId="77777777" w:rsidR="00305FBA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2193EC9C" w14:textId="77777777" w:rsidR="00305FBA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42E8DA57" w14:textId="77777777" w:rsidR="00305FBA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7A0D01E3" w14:textId="77777777" w:rsidR="00305FBA" w:rsidRPr="00EF7B08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600E49D7" w14:textId="77777777" w:rsidR="00305FBA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F3397FF" w14:textId="77777777" w:rsidR="00305FBA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195AD1C7" w14:textId="77777777" w:rsidR="00305FBA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lastRenderedPageBreak/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4C2E855A" w14:textId="77777777" w:rsidR="00305FBA" w:rsidRPr="00B205B7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2FBEA12B" w14:textId="77777777" w:rsidR="00305FBA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3F39AF6F" w14:textId="77777777" w:rsidR="00305FBA" w:rsidRPr="00B205B7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230C13BC" w14:textId="77777777" w:rsidR="00305FBA" w:rsidRPr="00B205B7" w:rsidRDefault="00305FBA" w:rsidP="00305FBA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a4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a4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a4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a4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a4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35"/>
      <w:footerReference w:type="default" r:id="rId36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D7A2D" w14:textId="77777777" w:rsidR="002B7FC2" w:rsidRDefault="002B7FC2" w:rsidP="00984929">
      <w:pPr>
        <w:spacing w:after="0" w:line="240" w:lineRule="auto"/>
      </w:pPr>
      <w:r>
        <w:separator/>
      </w:r>
    </w:p>
  </w:endnote>
  <w:endnote w:type="continuationSeparator" w:id="0">
    <w:p w14:paraId="2DDB477F" w14:textId="77777777" w:rsidR="002B7FC2" w:rsidRDefault="002B7FC2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6F05FDAB" w:rsidR="007673DE" w:rsidRPr="000E790C" w:rsidRDefault="007673DE" w:rsidP="006859F2">
        <w:pPr>
          <w:pStyle w:val="a8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D75388">
          <w:rPr>
            <w:rFonts w:ascii="Garamond" w:hAnsi="Garamond"/>
            <w:noProof/>
          </w:rPr>
          <w:t>3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a8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002E6" w14:textId="77777777" w:rsidR="002B7FC2" w:rsidRDefault="002B7FC2" w:rsidP="00984929">
      <w:pPr>
        <w:spacing w:after="0" w:line="240" w:lineRule="auto"/>
      </w:pPr>
      <w:r>
        <w:separator/>
      </w:r>
    </w:p>
  </w:footnote>
  <w:footnote w:type="continuationSeparator" w:id="0">
    <w:p w14:paraId="024EB1F6" w14:textId="77777777" w:rsidR="002B7FC2" w:rsidRDefault="002B7FC2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a3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a3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a6"/>
    </w:pPr>
  </w:p>
  <w:p w14:paraId="66CFD5D2" w14:textId="77777777" w:rsidR="00984929" w:rsidRDefault="0098492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27B0"/>
    <w:rsid w:val="000938BB"/>
    <w:rsid w:val="000940F4"/>
    <w:rsid w:val="000A1046"/>
    <w:rsid w:val="000B34B8"/>
    <w:rsid w:val="000B35E8"/>
    <w:rsid w:val="000B74CD"/>
    <w:rsid w:val="000C3452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B88"/>
    <w:rsid w:val="00115C73"/>
    <w:rsid w:val="001273C3"/>
    <w:rsid w:val="00127491"/>
    <w:rsid w:val="00141AEE"/>
    <w:rsid w:val="00141DE5"/>
    <w:rsid w:val="00143D9C"/>
    <w:rsid w:val="00144433"/>
    <w:rsid w:val="0014528F"/>
    <w:rsid w:val="00151F17"/>
    <w:rsid w:val="00163D7D"/>
    <w:rsid w:val="00167ADB"/>
    <w:rsid w:val="0017327A"/>
    <w:rsid w:val="00191AFE"/>
    <w:rsid w:val="00193722"/>
    <w:rsid w:val="001A6388"/>
    <w:rsid w:val="001B26F3"/>
    <w:rsid w:val="001B57FD"/>
    <w:rsid w:val="001C749D"/>
    <w:rsid w:val="001E13BC"/>
    <w:rsid w:val="00203680"/>
    <w:rsid w:val="002118AC"/>
    <w:rsid w:val="00231874"/>
    <w:rsid w:val="00232722"/>
    <w:rsid w:val="00233F31"/>
    <w:rsid w:val="00234CA5"/>
    <w:rsid w:val="00241E54"/>
    <w:rsid w:val="00250128"/>
    <w:rsid w:val="0026261C"/>
    <w:rsid w:val="00280A12"/>
    <w:rsid w:val="00290215"/>
    <w:rsid w:val="002A3D5D"/>
    <w:rsid w:val="002B1808"/>
    <w:rsid w:val="002B2425"/>
    <w:rsid w:val="002B7FC2"/>
    <w:rsid w:val="002C7A30"/>
    <w:rsid w:val="002D1479"/>
    <w:rsid w:val="002D6A8B"/>
    <w:rsid w:val="002F23CE"/>
    <w:rsid w:val="003020FF"/>
    <w:rsid w:val="00305FBA"/>
    <w:rsid w:val="00312439"/>
    <w:rsid w:val="00315575"/>
    <w:rsid w:val="00320C02"/>
    <w:rsid w:val="00324039"/>
    <w:rsid w:val="00332599"/>
    <w:rsid w:val="00333DA5"/>
    <w:rsid w:val="003359A2"/>
    <w:rsid w:val="003620B4"/>
    <w:rsid w:val="00367AE3"/>
    <w:rsid w:val="0037083B"/>
    <w:rsid w:val="00375117"/>
    <w:rsid w:val="00375383"/>
    <w:rsid w:val="00376DB4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137B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5F7E14"/>
    <w:rsid w:val="0060064B"/>
    <w:rsid w:val="00606298"/>
    <w:rsid w:val="00615460"/>
    <w:rsid w:val="0061764C"/>
    <w:rsid w:val="006204D6"/>
    <w:rsid w:val="00622B7F"/>
    <w:rsid w:val="00634F55"/>
    <w:rsid w:val="00635E16"/>
    <w:rsid w:val="00641DDC"/>
    <w:rsid w:val="00653DAD"/>
    <w:rsid w:val="006604CE"/>
    <w:rsid w:val="00663F75"/>
    <w:rsid w:val="00665B21"/>
    <w:rsid w:val="00670679"/>
    <w:rsid w:val="00683329"/>
    <w:rsid w:val="006859F2"/>
    <w:rsid w:val="00693DEA"/>
    <w:rsid w:val="006A17F4"/>
    <w:rsid w:val="006A439E"/>
    <w:rsid w:val="006B2814"/>
    <w:rsid w:val="006C4654"/>
    <w:rsid w:val="006D611F"/>
    <w:rsid w:val="006E3B13"/>
    <w:rsid w:val="006E724E"/>
    <w:rsid w:val="006F65DA"/>
    <w:rsid w:val="00701517"/>
    <w:rsid w:val="007223A1"/>
    <w:rsid w:val="007319D4"/>
    <w:rsid w:val="00742C28"/>
    <w:rsid w:val="00743AD0"/>
    <w:rsid w:val="00764D18"/>
    <w:rsid w:val="00767071"/>
    <w:rsid w:val="007673DE"/>
    <w:rsid w:val="0077255C"/>
    <w:rsid w:val="00773CAB"/>
    <w:rsid w:val="007769E1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558D9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3098"/>
    <w:rsid w:val="00A06ADD"/>
    <w:rsid w:val="00A100AC"/>
    <w:rsid w:val="00A124EC"/>
    <w:rsid w:val="00A149EB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6615"/>
    <w:rsid w:val="00A9776D"/>
    <w:rsid w:val="00AA01C7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1847"/>
    <w:rsid w:val="00B33513"/>
    <w:rsid w:val="00B55148"/>
    <w:rsid w:val="00B56595"/>
    <w:rsid w:val="00B61C88"/>
    <w:rsid w:val="00B671C5"/>
    <w:rsid w:val="00B738ED"/>
    <w:rsid w:val="00B762C4"/>
    <w:rsid w:val="00B76B4C"/>
    <w:rsid w:val="00B80D25"/>
    <w:rsid w:val="00B926C3"/>
    <w:rsid w:val="00BA4B8A"/>
    <w:rsid w:val="00BB3BD0"/>
    <w:rsid w:val="00BB4C75"/>
    <w:rsid w:val="00BC585C"/>
    <w:rsid w:val="00BD07A4"/>
    <w:rsid w:val="00BD6C8F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A100D"/>
    <w:rsid w:val="00CB3869"/>
    <w:rsid w:val="00CB5341"/>
    <w:rsid w:val="00CB55F3"/>
    <w:rsid w:val="00CB682F"/>
    <w:rsid w:val="00CC13B8"/>
    <w:rsid w:val="00CC7EB5"/>
    <w:rsid w:val="00CD0624"/>
    <w:rsid w:val="00CE3BB8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564A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388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B54B8"/>
    <w:rsid w:val="00EB7967"/>
    <w:rsid w:val="00EC179B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83DBA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272C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984929"/>
  </w:style>
  <w:style w:type="paragraph" w:styleId="a8">
    <w:name w:val="footer"/>
    <w:basedOn w:val="a"/>
    <w:link w:val="a9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apgeog.2023.103124" TargetMode="External"/><Relationship Id="rId21" Type="http://schemas.openxmlformats.org/officeDocument/2006/relationships/hyperlink" Target="https://doi.org/10.1016/j.habitatint.2019.102069" TargetMode="External"/><Relationship Id="rId34" Type="http://schemas.openxmlformats.org/officeDocument/2006/relationships/hyperlink" Target="https://www.cnki.net/kcms/detail/11.2378.tu.20230407.1605.002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ag.2023.103570" TargetMode="External"/><Relationship Id="rId33" Type="http://schemas.openxmlformats.org/officeDocument/2006/relationships/hyperlink" Target="http://journal12.magtechjournal.com/Jweb_stbc/CN/abstract/abstract10265.s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hyperlink" Target="https://doi.org/10.1016/j.ecolind.2023.1110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38/s41597-023-02240-w" TargetMode="External"/><Relationship Id="rId32" Type="http://schemas.openxmlformats.org/officeDocument/2006/relationships/hyperlink" Target="http://www.desert.ac.cn/CN/10.7522/j.issn.1000-694X.2015.00073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hyperlink" Target="https://doi.org/10.1080/1747423X.2020.1829120" TargetMode="External"/><Relationship Id="rId36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hyperlink" Target="https://doi.org/10.1016/j.uclim.2022.1012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envman.2023.118706" TargetMode="External"/><Relationship Id="rId27" Type="http://schemas.openxmlformats.org/officeDocument/2006/relationships/hyperlink" Target="https://doi.org/10.1016/j.jclepro.2023.138154" TargetMode="External"/><Relationship Id="rId30" Type="http://schemas.openxmlformats.org/officeDocument/2006/relationships/hyperlink" Target="https://doi.org/10.1016/j.jag.2022.102886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ED895-C318-4FEB-86B7-565E336D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15</cp:revision>
  <cp:lastPrinted>2023-05-29T16:09:00Z</cp:lastPrinted>
  <dcterms:created xsi:type="dcterms:W3CDTF">2023-05-29T16:11:00Z</dcterms:created>
  <dcterms:modified xsi:type="dcterms:W3CDTF">2024-02-27T06:59:00Z</dcterms:modified>
</cp:coreProperties>
</file>