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7090D"/>
          <w:sz w:val="31"/>
        </w:rPr>
        <w:t>LANDEN JACKSON</w:t>
      </w:r>
    </w:p>
    <w:p>
      <w:pPr>
        <w:spacing w:before="0" w:after="40"/>
        <w:jc w:val="center"/>
      </w:pPr>
      <w:r>
        <w:rPr>
          <w:rFonts w:ascii="Arial" w:hAnsi="Arial"/>
          <w:b/>
          <w:color w:val="228B22"/>
          <w:sz w:val="19"/>
        </w:rPr>
        <w:t>Operations &amp; Commercial Growth Strategist • Systems &amp; Unit-Economic Operator</w:t>
      </w:r>
    </w:p>
    <w:p>
      <w:pPr>
        <w:spacing w:before="0" w:after="80"/>
        <w:jc w:val="center"/>
      </w:pPr>
      <w:r>
        <w:rPr>
          <w:rFonts w:ascii="Arial" w:hAnsi="Arial"/>
          <w:color w:val="4B5563"/>
          <w:sz w:val="17"/>
        </w:rPr>
        <w:t>Tallahassee, FL  •  (850) 459-9148  •  jacksonlanden3986@gmail.com  •  linkedin.com/in/landenjackson  •  consultant-studio.app</w:t>
      </w:r>
    </w:p>
    <w:p>
      <w:pPr>
        <w:spacing w:before="120" w:after="40" w:line="252" w:lineRule="auto"/>
        <w:pBdr>
          <w:bottom w:val="single" w:sz="6" w:space="2" w:color="182030"/>
        </w:pBdr>
      </w:pPr>
      <w:r>
        <w:rPr>
          <w:rFonts w:ascii="Arial" w:hAnsi="Arial"/>
          <w:b/>
          <w:color w:val="0C1017"/>
          <w:sz w:val="19"/>
        </w:rPr>
        <w:t>EXECUTIVE PROFILE</w:t>
      </w:r>
    </w:p>
    <w:p>
      <w:pPr>
        <w:spacing w:before="40" w:after="80" w:line="264" w:lineRule="auto"/>
      </w:pPr>
      <w:r>
        <w:rPr>
          <w:rFonts w:ascii="Arial" w:hAnsi="Arial"/>
          <w:color w:val="1E293B"/>
          <w:sz w:val="17"/>
        </w:rPr>
        <w:t>Systems-driven multi-unit operator and commercial strategist specializing in frontline unit economics, floor throughput engineering, and zero-overhead workflow automation. Track record of unlocking gross margin capacity, eliminating peak-service labor bottlenecks, and protecting 100% full-price realization without discounting. Developer of client-side diagnostic systems that model P&amp;Ls, 13-week cash flows, and operating variance in real time.</w:t>
      </w:r>
    </w:p>
    <w:p>
      <w:pPr>
        <w:spacing w:before="120" w:after="40" w:line="252" w:lineRule="auto"/>
        <w:pBdr>
          <w:bottom w:val="single" w:sz="6" w:space="2" w:color="182030"/>
        </w:pBdr>
      </w:pPr>
      <w:r>
        <w:rPr>
          <w:rFonts w:ascii="Arial" w:hAnsi="Arial"/>
          <w:b/>
          <w:color w:val="0C1017"/>
          <w:sz w:val="19"/>
        </w:rPr>
        <w:t>CORE COMPETENCIES</w:t>
      </w:r>
    </w:p>
    <w:p>
      <w:pPr>
        <w:spacing w:before="0" w:after="30" w:line="259" w:lineRule="auto"/>
        <w:ind w:left="173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Operations &amp; Throughput: </w:t>
      </w:r>
      <w:r>
        <w:rPr>
          <w:rFonts w:ascii="Arial" w:hAnsi="Arial"/>
          <w:color w:val="334155"/>
          <w:sz w:val="17"/>
        </w:rPr>
        <w:t>Line &amp; Expo Velocity, Labor Schedule Calibration, Peak Turn Rate, Kitchen Workflow Re-sequencing</w:t>
      </w:r>
    </w:p>
    <w:p>
      <w:pPr>
        <w:spacing w:before="0" w:after="30" w:line="259" w:lineRule="auto"/>
        <w:ind w:left="173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Financial &amp; Margin Defense: </w:t>
      </w:r>
      <w:r>
        <w:rPr>
          <w:rFonts w:ascii="Arial" w:hAnsi="Arial"/>
          <w:color w:val="334155"/>
          <w:sz w:val="17"/>
        </w:rPr>
        <w:t>COGS &amp; Prime Cost Reduction, Zero-Discount Yield Management, Menu Engineering, Inventory Controls</w:t>
      </w:r>
    </w:p>
    <w:p>
      <w:pPr>
        <w:spacing w:before="0" w:after="30" w:line="259" w:lineRule="auto"/>
        <w:ind w:left="173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Systems &amp; Software: </w:t>
      </w:r>
      <w:r>
        <w:rPr>
          <w:rFonts w:ascii="Arial" w:hAnsi="Arial"/>
          <w:color w:val="334155"/>
          <w:sz w:val="17"/>
        </w:rPr>
        <w:t>Client-Side Financial Diagnostics, 13-Week Cash Flow Models, POS Real-Time Telemetry, MS Excel (Advanced)</w:t>
      </w:r>
    </w:p>
    <w:p>
      <w:pPr>
        <w:spacing w:before="120" w:after="40" w:line="252" w:lineRule="auto"/>
        <w:pBdr>
          <w:bottom w:val="single" w:sz="6" w:space="2" w:color="182030"/>
        </w:pBdr>
      </w:pPr>
      <w:r>
        <w:rPr>
          <w:rFonts w:ascii="Arial" w:hAnsi="Arial"/>
          <w:b/>
          <w:color w:val="0C1017"/>
          <w:sz w:val="19"/>
        </w:rPr>
        <w:t>OPERATIONAL VENTURES &amp; SYSTEMS DEVELOPMENT</w:t>
      </w:r>
    </w:p>
    <w:p>
      <w:pPr>
        <w:spacing w:before="40" w:after="30"/>
        <w:jc w:val="left"/>
      </w:pPr>
      <w:r>
        <w:rPr>
          <w:rFonts w:ascii="Arial" w:hAnsi="Arial"/>
          <w:b/>
          <w:color w:val="0F172A"/>
          <w:sz w:val="18"/>
        </w:rPr>
        <w:t xml:space="preserve">Consultant Studio </w:t>
      </w:r>
      <w:r>
        <w:rPr>
          <w:rFonts w:ascii="Arial" w:hAnsi="Arial"/>
          <w:color w:val="64748B"/>
          <w:sz w:val="17"/>
        </w:rPr>
        <w:t>— Tallahassee, FL</w:t>
        <w:tab/>
        <w:tab/>
        <w:tab/>
      </w:r>
      <w:r>
        <w:rPr>
          <w:rFonts w:ascii="Arial" w:hAnsi="Arial"/>
          <w:b/>
          <w:color w:val="334155"/>
          <w:sz w:val="17"/>
        </w:rPr>
        <w:t>Founder &amp; Lead Product Architect | 2026 – Present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Engineered a zero-infrastructure browser financial diagnostic engine delivering 13-week cash flow projections, P&amp;L modeling, and variance analytics directly in client memory at $0.00/month recurring compute overhead.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Built automated client-side parsing pipelines converting complex financial records and POS logs into MSO-compliant workbooks (.xlsx), executive memos (.docx), and board decks (.pptx) with zero data privacy exposure.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Architected dynamic margin and prime cost diagnostic tools deployed across independent service operators to identify labor bleed and waste leakage within &lt;3 minutes of data ingest.</w:t>
      </w:r>
    </w:p>
    <w:p>
      <w:pPr>
        <w:spacing w:before="120" w:after="40" w:line="252" w:lineRule="auto"/>
        <w:pBdr>
          <w:bottom w:val="single" w:sz="6" w:space="2" w:color="182030"/>
        </w:pBdr>
      </w:pPr>
      <w:r>
        <w:rPr>
          <w:rFonts w:ascii="Arial" w:hAnsi="Arial"/>
          <w:b/>
          <w:color w:val="0C1017"/>
          <w:sz w:val="19"/>
        </w:rPr>
        <w:t>PROFESSIONAL EXPERIENCE</w:t>
      </w:r>
    </w:p>
    <w:p>
      <w:pPr>
        <w:spacing w:before="40" w:after="30"/>
      </w:pPr>
      <w:r>
        <w:rPr>
          <w:rFonts w:ascii="Arial" w:hAnsi="Arial"/>
          <w:b/>
          <w:color w:val="0F172A"/>
          <w:sz w:val="18"/>
        </w:rPr>
        <w:t xml:space="preserve">Ma's Diner </w:t>
      </w:r>
      <w:r>
        <w:rPr>
          <w:rFonts w:ascii="Arial" w:hAnsi="Arial"/>
          <w:color w:val="64748B"/>
          <w:sz w:val="17"/>
        </w:rPr>
        <w:t>— Tallahassee, FL</w:t>
        <w:tab/>
        <w:tab/>
      </w:r>
      <w:r>
        <w:rPr>
          <w:rFonts w:ascii="Arial" w:hAnsi="Arial"/>
          <w:b/>
          <w:color w:val="334155"/>
          <w:sz w:val="17"/>
        </w:rPr>
        <w:t>Marketing &amp; Operations Growth Specialist | Apr 2025 – Present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Engineered shift-level expo handoff protocols and line-sequencing, cutting average ticket times by 90 seconds and unlocking +$2,200 in gross sales per peak service (+12% throughput lift).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Recovered $35,000 in annualized gross margin (4.2% COGS reduction) by implementing shift-level waste logging and strict portioning recalibration across 3 critical dayparts.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Scaled weekday customer volume by 25% across an 8-week targeted local trade-area campaign while defending 100% full-price realization with zero margin-eroding discounts.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Audited trade-area dining density and competitor pricing arrays, executing hyper-targeted local capture to build a 5% repeat baseline from ground zero.</w:t>
      </w:r>
    </w:p>
    <w:p>
      <w:pPr>
        <w:spacing w:before="60" w:after="30"/>
      </w:pPr>
      <w:r>
        <w:rPr>
          <w:rFonts w:ascii="Arial" w:hAnsi="Arial"/>
          <w:b/>
          <w:color w:val="0F172A"/>
          <w:sz w:val="18"/>
        </w:rPr>
        <w:t xml:space="preserve">Walk-On's Sports Bistreaux </w:t>
      </w:r>
      <w:r>
        <w:rPr>
          <w:rFonts w:ascii="Arial" w:hAnsi="Arial"/>
          <w:color w:val="64748B"/>
          <w:sz w:val="17"/>
        </w:rPr>
        <w:t>— Tallahassee, FL</w:t>
        <w:tab/>
        <w:tab/>
      </w:r>
      <w:r>
        <w:rPr>
          <w:rFonts w:ascii="Arial" w:hAnsi="Arial"/>
          <w:b/>
          <w:color w:val="334155"/>
          <w:sz w:val="17"/>
        </w:rPr>
        <w:t>Operations &amp; Shift Coordinator | Jun 2021 – Feb 2025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Recalibrated closing procedures and station breakdown sequences, recovering 22 minutes of idle labor per shift ($18,000 annual margin capture) and reallocating capacity to prep for high-volume lunch rushes.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Designed a modular kitchen cross-training matrix that condensed line-cook onboarding from 14 shifts to 8 while sustaining 98% order accuracy across $8,000+ peak game-day services.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Directed floor throughput and concurrent dual-channel fulfillment (in-venue floor seating and 10–60 simultaneous delivery orders) during max-capacity events with 0% fulfillment error rates.</w:t>
      </w:r>
    </w:p>
    <w:p>
      <w:pPr>
        <w:spacing w:before="0" w:after="40" w:line="259" w:lineRule="auto"/>
        <w:ind w:left="216"/>
      </w:pPr>
      <w:r>
        <w:rPr>
          <w:rFonts w:ascii="Arial" w:hAnsi="Arial"/>
          <w:color w:val="1E293B"/>
          <w:sz w:val="16"/>
        </w:rPr>
        <w:t>• Standardized station operating checklists and opening/closing handovers across 15+ frontline staff, reducing shift transition friction and communication errors by 50%.</w:t>
      </w:r>
    </w:p>
    <w:p>
      <w:pPr>
        <w:spacing w:before="120" w:after="40" w:line="252" w:lineRule="auto"/>
        <w:pBdr>
          <w:bottom w:val="single" w:sz="6" w:space="2" w:color="182030"/>
        </w:pBdr>
      </w:pPr>
      <w:r>
        <w:rPr>
          <w:rFonts w:ascii="Arial" w:hAnsi="Arial"/>
          <w:b/>
          <w:color w:val="0C1017"/>
          <w:sz w:val="19"/>
        </w:rPr>
        <w:t>EDUCATION &amp; CREDENTIALS</w:t>
      </w:r>
    </w:p>
    <w:p>
      <w:pPr>
        <w:spacing w:before="40" w:after="30"/>
      </w:pPr>
      <w:r>
        <w:rPr>
          <w:rFonts w:ascii="Arial" w:hAnsi="Arial"/>
          <w:b/>
          <w:color w:val="0F172A"/>
          <w:sz w:val="18"/>
        </w:rPr>
        <w:t xml:space="preserve">Florida State University </w:t>
      </w:r>
      <w:r>
        <w:rPr>
          <w:rFonts w:ascii="Arial" w:hAnsi="Arial"/>
          <w:color w:val="64748B"/>
          <w:sz w:val="17"/>
        </w:rPr>
        <w:t>— Tallahassee, FL</w:t>
        <w:tab/>
        <w:tab/>
        <w:tab/>
      </w:r>
      <w:r>
        <w:rPr>
          <w:rFonts w:ascii="Arial" w:hAnsi="Arial"/>
          <w:b/>
          <w:color w:val="334155"/>
          <w:sz w:val="17"/>
        </w:rPr>
        <w:t>Bachelor of Science in Marketing | May 2024 – Jul 2026</w:t>
      </w:r>
    </w:p>
    <w:p>
      <w:pPr>
        <w:spacing w:before="0" w:after="30" w:line="259" w:lineRule="auto"/>
        <w:ind w:left="216"/>
      </w:pPr>
      <w:r>
        <w:rPr>
          <w:rFonts w:ascii="Arial" w:hAnsi="Arial"/>
          <w:color w:val="1E293B"/>
          <w:sz w:val="16"/>
        </w:rPr>
        <w:t>• Empirical Academic Research: Co-authored study on consumer trust dynamics and institutional decision-making structures (p &lt; .001).</w:t>
      </w:r>
    </w:p>
    <w:p>
      <w:pPr>
        <w:spacing w:before="0" w:after="30" w:line="259" w:lineRule="auto"/>
        <w:ind w:left="216"/>
      </w:pPr>
      <w:r>
        <w:rPr>
          <w:rFonts w:ascii="Arial" w:hAnsi="Arial"/>
          <w:color w:val="1E293B"/>
          <w:sz w:val="16"/>
        </w:rPr>
        <w:t>• Certifications &amp; Honors: Advanced Microsoft Excel Certified • Google AI Professional Certificate • Eagle Scout (Boy Scouts of America)</w:t>
      </w:r>
    </w:p>
    <w:p>
      <w:pPr>
        <w:spacing w:before="0" w:after="30" w:line="259" w:lineRule="auto"/>
        <w:ind w:left="216"/>
      </w:pPr>
      <w:r>
        <w:rPr>
          <w:rFonts w:ascii="Arial" w:hAnsi="Arial"/>
          <w:color w:val="1E293B"/>
          <w:sz w:val="16"/>
        </w:rPr>
        <w:t>• Tallahassee State College: Associate of Arts (Dean's List 3x Honors Recognition)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