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color w:val="000000"/>
          <w:sz w:val="38"/>
        </w:rPr>
        <w:t>LANDEN JACKSON</w:t>
      </w:r>
    </w:p>
    <w:p>
      <w:pPr>
        <w:spacing w:before="0" w:after="40"/>
        <w:jc w:val="center"/>
      </w:pPr>
      <w:r>
        <w:rPr>
          <w:rFonts w:ascii="Calibri" w:hAnsi="Calibri"/>
          <w:b/>
          <w:color w:val="1E293B"/>
          <w:sz w:val="19"/>
        </w:rPr>
        <w:t>Commercial Strategy and Operations Leader  •  Workflow Systems and Process Improvement</w:t>
      </w:r>
    </w:p>
    <w:p>
      <w:pPr>
        <w:spacing w:before="0" w:after="80"/>
        <w:jc w:val="center"/>
      </w:pPr>
      <w:r>
        <w:rPr>
          <w:rFonts w:ascii="Calibri" w:hAnsi="Calibri"/>
          <w:color w:val="64748B"/>
          <w:sz w:val="18"/>
        </w:rPr>
        <w:t>Tallahassee, FL   •   (850) 459-9148   •   jacksonlanden3986@gmail.com   •   linkedin.com/in/landenjackson   •   www.consultant-studio.app</w:t>
      </w:r>
    </w:p>
    <w:p>
      <w:pPr>
        <w:keepNext/>
        <w:spacing w:before="160" w:after="60"/>
        <w:pBdr>
          <w:bottom w:val="single" w:sz="6" w:space="2" w:color="000000"/>
        </w:pBdr>
      </w:pPr>
      <w:r>
        <w:rPr>
          <w:rFonts w:ascii="Calibri" w:hAnsi="Calibri"/>
          <w:b/>
          <w:color w:val="000000"/>
          <w:sz w:val="21"/>
        </w:rPr>
        <w:t>EXECUTIVE PROFILE</w:t>
      </w:r>
    </w:p>
    <w:p>
      <w:pPr>
        <w:spacing w:before="40" w:after="80" w:line="276" w:lineRule="auto"/>
      </w:pPr>
      <w:r>
        <w:rPr>
          <w:rFonts w:ascii="Calibri" w:hAnsi="Calibri"/>
          <w:color w:val="1E293B"/>
          <w:sz w:val="19"/>
        </w:rPr>
        <w:t>Commercial strategy and operations professional with experience improving revenue performance, customer acquisition, workflow design, and service execution. Applies data analysis, process discipline, and frontline operational experience to develop practical solutions that increase foot traffic, protect margins, improve fulfillment reliability, and support executive decision-making.</w:t>
      </w:r>
    </w:p>
    <w:p>
      <w:pPr>
        <w:keepNext/>
        <w:spacing w:before="160" w:after="60"/>
        <w:pBdr>
          <w:bottom w:val="single" w:sz="6" w:space="2" w:color="000000"/>
        </w:pBdr>
      </w:pPr>
      <w:r>
        <w:rPr>
          <w:rFonts w:ascii="Calibri" w:hAnsi="Calibri"/>
          <w:b/>
          <w:color w:val="000000"/>
          <w:sz w:val="21"/>
        </w:rPr>
        <w:t>CORE COMPETENCIES AND TECHNICAL SKILLS</w:t>
      </w:r>
    </w:p>
    <w:p>
      <w:pPr>
        <w:pStyle w:val="ListBullet"/>
        <w:spacing w:before="0" w:after="40" w:line="276" w:lineRule="auto"/>
        <w:ind w:left="288"/>
      </w:pPr>
      <w:r>
        <w:rPr>
          <w:rFonts w:ascii="Calibri" w:hAnsi="Calibri"/>
          <w:b/>
          <w:color w:val="000000"/>
          <w:sz w:val="19"/>
        </w:rPr>
        <w:t>Commercial Strategy &amp; Revenue:</w:t>
      </w:r>
      <w:r>
        <w:rPr>
          <w:rFonts w:ascii="Calibri" w:hAnsi="Calibri"/>
          <w:color w:val="1E293B"/>
          <w:sz w:val="19"/>
        </w:rPr>
        <w:t xml:space="preserve"> Revenue Analysis, Margin Management, Customer Acquisition, Consultative Selling, A/B Testing, Pricing Strategy</w:t>
      </w:r>
    </w:p>
    <w:p>
      <w:pPr>
        <w:pStyle w:val="ListBullet"/>
        <w:spacing w:before="0" w:after="40" w:line="276" w:lineRule="auto"/>
        <w:ind w:left="288"/>
      </w:pPr>
      <w:r>
        <w:rPr>
          <w:rFonts w:ascii="Calibri" w:hAnsi="Calibri"/>
          <w:b/>
          <w:color w:val="000000"/>
          <w:sz w:val="19"/>
        </w:rPr>
        <w:t>AI and Workflow Systems:</w:t>
      </w:r>
      <w:r>
        <w:rPr>
          <w:rFonts w:ascii="Calibri" w:hAnsi="Calibri"/>
          <w:color w:val="1E293B"/>
          <w:sz w:val="19"/>
        </w:rPr>
        <w:t xml:space="preserve"> Human Review Workflows, AI-Assisted Process Design, Prompt Development, Gemini, Claude, OpenAI, Automated Data Workflows</w:t>
      </w:r>
    </w:p>
    <w:p>
      <w:pPr>
        <w:pStyle w:val="ListBullet"/>
        <w:spacing w:before="0" w:after="40" w:line="276" w:lineRule="auto"/>
        <w:ind w:left="288"/>
      </w:pPr>
      <w:r>
        <w:rPr>
          <w:rFonts w:ascii="Calibri" w:hAnsi="Calibri"/>
          <w:b/>
          <w:color w:val="000000"/>
          <w:sz w:val="19"/>
        </w:rPr>
        <w:t>Analytics &amp; Data Infrastructure:</w:t>
      </w:r>
      <w:r>
        <w:rPr>
          <w:rFonts w:ascii="Calibri" w:hAnsi="Calibri"/>
          <w:color w:val="1E293B"/>
          <w:sz w:val="19"/>
        </w:rPr>
        <w:t xml:space="preserve"> Microsoft Excel, SPSS, KPI Dashboards, SheetJS, Cloudflare Zero Trust, Point-of-Sale Data Review</w:t>
      </w:r>
    </w:p>
    <w:p>
      <w:pPr>
        <w:keepNext/>
        <w:spacing w:before="160" w:after="60"/>
        <w:pBdr>
          <w:bottom w:val="single" w:sz="6" w:space="2" w:color="000000"/>
        </w:pBdr>
      </w:pPr>
      <w:r>
        <w:rPr>
          <w:rFonts w:ascii="Calibri" w:hAnsi="Calibri"/>
          <w:b/>
          <w:color w:val="000000"/>
          <w:sz w:val="21"/>
        </w:rPr>
        <w:t>FEATURED VENTURE AND SYSTEMS DEVELOPMENT</w:t>
      </w:r>
    </w:p>
    <w:tbl>
      <w:tblPr>
        <w:tblW w:type="auto" w:w="0"/>
        <w:jc w:val="center"/>
        <w:tblLayout w:type="fixed"/>
        <w:tblLook w:firstColumn="1" w:firstRow="1" w:lastColumn="0" w:lastRow="0" w:noHBand="0" w:noVBand="1" w:val="04A0"/>
      </w:tblPr>
      <w:tblGrid>
        <w:gridCol w:w="5328"/>
        <w:gridCol w:w="5328"/>
      </w:tblGrid>
      <w:tr>
        <w:tc>
          <w:tcPr>
            <w:tcW w:type="dxa" w:w="7776"/>
            <w:tcMar>
              <w:top w:w="0" w:type="dxa"/>
              <w:bottom w:w="0" w:type="dxa"/>
              <w:left w:w="0" w:type="dxa"/>
              <w:right w:w="0" w:type="dxa"/>
            </w:tcMar>
          </w:tcPr>
          <w:p>
            <w:pPr>
              <w:keepNext/>
              <w:spacing w:before="80" w:after="40"/>
            </w:pPr>
            <w:r>
              <w:rPr>
                <w:rFonts w:ascii="Calibri" w:hAnsi="Calibri"/>
                <w:b/>
                <w:color w:val="000000"/>
                <w:sz w:val="20"/>
              </w:rPr>
              <w:t>Founder and Strategic Operator</w:t>
            </w:r>
            <w:r>
              <w:rPr>
                <w:rFonts w:ascii="Calibri" w:hAnsi="Calibri"/>
                <w:i/>
                <w:color w:val="1E293B"/>
                <w:sz w:val="20"/>
              </w:rPr>
              <w:t>, Consultant Studio (www.consultant-studio.app)</w:t>
            </w:r>
          </w:p>
        </w:tc>
        <w:tc>
          <w:tcPr>
            <w:tcW w:type="dxa" w:w="2880"/>
            <w:tcMar>
              <w:top w:w="0" w:type="dxa"/>
              <w:bottom w:w="0" w:type="dxa"/>
              <w:left w:w="0" w:type="dxa"/>
              <w:right w:w="0" w:type="dxa"/>
            </w:tcMar>
          </w:tcPr>
          <w:p>
            <w:pPr>
              <w:keepNext/>
              <w:spacing w:before="80" w:after="40"/>
              <w:jc w:val="right"/>
            </w:pPr>
            <w:r>
              <w:rPr>
                <w:rFonts w:ascii="Calibri" w:hAnsi="Calibri"/>
                <w:color w:val="64748B"/>
                <w:sz w:val="19"/>
              </w:rPr>
              <w:t>Feb 2026 – Present</w:t>
            </w:r>
          </w:p>
        </w:tc>
      </w:tr>
    </w:tbl>
    <w:p>
      <w:pPr>
        <w:pStyle w:val="ListBullet"/>
        <w:spacing w:before="0" w:after="40" w:line="276" w:lineRule="auto"/>
        <w:ind w:left="288"/>
      </w:pPr>
      <w:r>
        <w:rPr>
          <w:rFonts w:ascii="Calibri" w:hAnsi="Calibri"/>
          <w:b/>
          <w:color w:val="000000"/>
          <w:sz w:val="19"/>
        </w:rPr>
        <w:t>Operations and Strategy Platform:</w:t>
      </w:r>
      <w:r>
        <w:rPr>
          <w:rFonts w:ascii="Calibri" w:hAnsi="Calibri"/>
          <w:color w:val="1E293B"/>
          <w:sz w:val="19"/>
        </w:rPr>
        <w:t xml:space="preserve"> Developed an executive operations platform for 13-week cash flow forecasting, profit and loss review, and board-ready reporting exports.</w:t>
      </w:r>
    </w:p>
    <w:p>
      <w:pPr>
        <w:pStyle w:val="ListBullet"/>
        <w:spacing w:before="0" w:after="40" w:line="276" w:lineRule="auto"/>
        <w:ind w:left="288"/>
      </w:pPr>
      <w:r>
        <w:rPr>
          <w:rFonts w:ascii="Calibri" w:hAnsi="Calibri"/>
          <w:b/>
          <w:color w:val="000000"/>
          <w:sz w:val="19"/>
        </w:rPr>
        <w:t>Client-Side Privacy Design:</w:t>
      </w:r>
      <w:r>
        <w:rPr>
          <w:rFonts w:ascii="Calibri" w:hAnsi="Calibri"/>
          <w:color w:val="1E293B"/>
          <w:sz w:val="19"/>
        </w:rPr>
        <w:t xml:space="preserve"> Built local file ingestion for .docx, .pdf, and .xlsx documents with client-side encryption and no cloud database dependency, supporting analysis updates and document generation.</w:t>
      </w:r>
    </w:p>
    <w:p>
      <w:pPr>
        <w:pStyle w:val="ListBullet"/>
        <w:spacing w:before="0" w:after="40" w:line="276" w:lineRule="auto"/>
        <w:ind w:left="288"/>
      </w:pPr>
      <w:r>
        <w:rPr>
          <w:rFonts w:ascii="Calibri" w:hAnsi="Calibri"/>
          <w:b/>
          <w:color w:val="000000"/>
          <w:sz w:val="19"/>
        </w:rPr>
        <w:t>Operational Diagnostics and Market Validation:</w:t>
      </w:r>
      <w:r>
        <w:rPr>
          <w:rFonts w:ascii="Calibri" w:hAnsi="Calibri"/>
          <w:color w:val="1E293B"/>
          <w:sz w:val="19"/>
        </w:rPr>
        <w:t xml:space="preserve"> Created diagnostic workflows to assess unit economics, identify cost drivers, and translate findings into lender and leadership communications.</w:t>
      </w:r>
    </w:p>
    <w:p>
      <w:pPr>
        <w:keepNext/>
        <w:spacing w:before="160" w:after="60"/>
        <w:pBdr>
          <w:bottom w:val="single" w:sz="6" w:space="2" w:color="000000"/>
        </w:pBdr>
      </w:pPr>
      <w:r>
        <w:rPr>
          <w:rFonts w:ascii="Calibri" w:hAnsi="Calibri"/>
          <w:b/>
          <w:color w:val="000000"/>
          <w:sz w:val="21"/>
        </w:rPr>
        <w:t>PROFESSIONAL EXPERIENCE</w:t>
      </w:r>
    </w:p>
    <w:tbl>
      <w:tblPr>
        <w:tblW w:type="auto" w:w="0"/>
        <w:jc w:val="center"/>
        <w:tblLayout w:type="fixed"/>
        <w:tblLook w:firstColumn="1" w:firstRow="1" w:lastColumn="0" w:lastRow="0" w:noHBand="0" w:noVBand="1" w:val="04A0"/>
      </w:tblPr>
      <w:tblGrid>
        <w:gridCol w:w="5328"/>
        <w:gridCol w:w="5328"/>
      </w:tblGrid>
      <w:tr>
        <w:tc>
          <w:tcPr>
            <w:tcW w:type="dxa" w:w="7776"/>
            <w:tcMar>
              <w:top w:w="0" w:type="dxa"/>
              <w:bottom w:w="0" w:type="dxa"/>
              <w:left w:w="0" w:type="dxa"/>
              <w:right w:w="0" w:type="dxa"/>
            </w:tcMar>
          </w:tcPr>
          <w:p>
            <w:pPr>
              <w:keepNext/>
              <w:spacing w:before="80" w:after="40"/>
            </w:pPr>
            <w:r>
              <w:rPr>
                <w:rFonts w:ascii="Calibri" w:hAnsi="Calibri"/>
                <w:b/>
                <w:color w:val="000000"/>
                <w:sz w:val="20"/>
              </w:rPr>
              <w:t>Lead Marketing Strategist</w:t>
            </w:r>
            <w:r>
              <w:rPr>
                <w:rFonts w:ascii="Calibri" w:hAnsi="Calibri"/>
                <w:i/>
                <w:color w:val="1E293B"/>
                <w:sz w:val="20"/>
              </w:rPr>
              <w:t>, Ma's Diner — Tallahassee, FL</w:t>
            </w:r>
          </w:p>
        </w:tc>
        <w:tc>
          <w:tcPr>
            <w:tcW w:type="dxa" w:w="2880"/>
            <w:tcMar>
              <w:top w:w="0" w:type="dxa"/>
              <w:bottom w:w="0" w:type="dxa"/>
              <w:left w:w="0" w:type="dxa"/>
              <w:right w:w="0" w:type="dxa"/>
            </w:tcMar>
          </w:tcPr>
          <w:p>
            <w:pPr>
              <w:keepNext/>
              <w:spacing w:before="80" w:after="40"/>
              <w:jc w:val="right"/>
            </w:pPr>
            <w:r>
              <w:rPr>
                <w:rFonts w:ascii="Calibri" w:hAnsi="Calibri"/>
                <w:color w:val="64748B"/>
                <w:sz w:val="19"/>
              </w:rPr>
              <w:t>Apr 2025 – Present</w:t>
            </w:r>
          </w:p>
        </w:tc>
      </w:tr>
    </w:tbl>
    <w:p>
      <w:pPr>
        <w:pStyle w:val="ListBullet"/>
        <w:spacing w:before="0" w:after="40" w:line="276" w:lineRule="auto"/>
        <w:ind w:left="288"/>
      </w:pPr>
      <w:r>
        <w:rPr>
          <w:rFonts w:ascii="Calibri" w:hAnsi="Calibri"/>
          <w:b/>
          <w:color w:val="000000"/>
          <w:sz w:val="19"/>
        </w:rPr>
        <w:t>Customer Growth and Margin Management:</w:t>
      </w:r>
      <w:r>
        <w:rPr>
          <w:rFonts w:ascii="Calibri" w:hAnsi="Calibri"/>
          <w:color w:val="1E293B"/>
          <w:sz w:val="19"/>
        </w:rPr>
        <w:t xml:space="preserve"> Developed targeted neighborhood marketing campaigns that increased weekday foot traffic by 25% over an eight-week launch period while maintaining full-price gross margins without coupon discounting.</w:t>
      </w:r>
    </w:p>
    <w:p>
      <w:pPr>
        <w:pStyle w:val="ListBullet"/>
        <w:spacing w:before="0" w:after="40" w:line="276" w:lineRule="auto"/>
        <w:ind w:left="288"/>
      </w:pPr>
      <w:r>
        <w:rPr>
          <w:rFonts w:ascii="Calibri" w:hAnsi="Calibri"/>
          <w:b/>
          <w:color w:val="000000"/>
          <w:sz w:val="19"/>
        </w:rPr>
        <w:t>Market and Customer Analysis:</w:t>
      </w:r>
      <w:r>
        <w:rPr>
          <w:rFonts w:ascii="Calibri" w:hAnsi="Calibri"/>
          <w:color w:val="1E293B"/>
          <w:sz w:val="19"/>
        </w:rPr>
        <w:t xml:space="preserve"> Reviewed local competitor pricing and customer traffic patterns, then placed print marketing materials at high-traffic community locations to establish a 5% repeat resident customer baseline.</w:t>
      </w:r>
    </w:p>
    <w:p>
      <w:pPr>
        <w:pStyle w:val="ListBullet"/>
        <w:spacing w:before="0" w:after="40" w:line="276" w:lineRule="auto"/>
        <w:ind w:left="288"/>
      </w:pPr>
      <w:r>
        <w:rPr>
          <w:rFonts w:ascii="Calibri" w:hAnsi="Calibri"/>
          <w:b/>
          <w:color w:val="000000"/>
          <w:sz w:val="19"/>
        </w:rPr>
        <w:t>Kitchen Workflow and Service Efficiency:</w:t>
      </w:r>
      <w:r>
        <w:rPr>
          <w:rFonts w:ascii="Calibri" w:hAnsi="Calibri"/>
          <w:color w:val="1E293B"/>
          <w:sz w:val="19"/>
        </w:rPr>
        <w:t xml:space="preserve"> Improved preparation and order handoff sequencing with ownership, reducing average table ticket turnaround from 8 minutes to 5 minutes and increasing peak-hour capacity by 3 covers per hour.</w:t>
      </w:r>
    </w:p>
    <w:tbl>
      <w:tblPr>
        <w:tblW w:type="auto" w:w="0"/>
        <w:jc w:val="center"/>
        <w:tblLayout w:type="fixed"/>
        <w:tblLook w:firstColumn="1" w:firstRow="1" w:lastColumn="0" w:lastRow="0" w:noHBand="0" w:noVBand="1" w:val="04A0"/>
      </w:tblPr>
      <w:tblGrid>
        <w:gridCol w:w="5328"/>
        <w:gridCol w:w="5328"/>
      </w:tblGrid>
      <w:tr>
        <w:tc>
          <w:tcPr>
            <w:tcW w:type="dxa" w:w="7776"/>
            <w:tcMar>
              <w:top w:w="0" w:type="dxa"/>
              <w:bottom w:w="0" w:type="dxa"/>
              <w:left w:w="0" w:type="dxa"/>
              <w:right w:w="0" w:type="dxa"/>
            </w:tcMar>
          </w:tcPr>
          <w:p>
            <w:pPr>
              <w:keepNext/>
              <w:spacing w:before="80" w:after="40"/>
            </w:pPr>
            <w:r>
              <w:rPr>
                <w:rFonts w:ascii="Calibri" w:hAnsi="Calibri"/>
                <w:b/>
                <w:color w:val="000000"/>
                <w:sz w:val="20"/>
              </w:rPr>
              <w:t>Operations &amp; Dispatch Lead</w:t>
            </w:r>
            <w:r>
              <w:rPr>
                <w:rFonts w:ascii="Calibri" w:hAnsi="Calibri"/>
                <w:i/>
                <w:color w:val="1E293B"/>
                <w:sz w:val="20"/>
              </w:rPr>
              <w:t>, Independent Micro-Logistics — Tallahassee, FL</w:t>
            </w:r>
          </w:p>
        </w:tc>
        <w:tc>
          <w:tcPr>
            <w:tcW w:type="dxa" w:w="2880"/>
            <w:tcMar>
              <w:top w:w="0" w:type="dxa"/>
              <w:bottom w:w="0" w:type="dxa"/>
              <w:left w:w="0" w:type="dxa"/>
              <w:right w:w="0" w:type="dxa"/>
            </w:tcMar>
          </w:tcPr>
          <w:p>
            <w:pPr>
              <w:keepNext/>
              <w:spacing w:before="80" w:after="40"/>
              <w:jc w:val="right"/>
            </w:pPr>
            <w:r>
              <w:rPr>
                <w:rFonts w:ascii="Calibri" w:hAnsi="Calibri"/>
                <w:color w:val="64748B"/>
                <w:sz w:val="19"/>
              </w:rPr>
              <w:t>May 2025 – Present</w:t>
            </w:r>
          </w:p>
        </w:tc>
      </w:tr>
    </w:tbl>
    <w:p>
      <w:pPr>
        <w:pStyle w:val="ListBullet"/>
        <w:spacing w:before="0" w:after="40" w:line="276" w:lineRule="auto"/>
        <w:ind w:left="288"/>
      </w:pPr>
      <w:r>
        <w:rPr>
          <w:rFonts w:ascii="Calibri" w:hAnsi="Calibri"/>
          <w:b/>
          <w:color w:val="000000"/>
          <w:sz w:val="19"/>
        </w:rPr>
        <w:t>High-Volume Service Execution:</w:t>
      </w:r>
      <w:r>
        <w:rPr>
          <w:rFonts w:ascii="Calibri" w:hAnsi="Calibri"/>
          <w:color w:val="1E293B"/>
          <w:sz w:val="19"/>
        </w:rPr>
        <w:t xml:space="preserve"> Completed more than 800 time-sensitive fulfillment deliveries during peak demand periods while maintaining a 99% on-time completion rate and a customer satisfaction rating above 90%.</w:t>
      </w:r>
    </w:p>
    <w:p>
      <w:pPr>
        <w:pStyle w:val="ListBullet"/>
        <w:spacing w:before="0" w:after="40" w:line="276" w:lineRule="auto"/>
        <w:ind w:left="288"/>
      </w:pPr>
      <w:r>
        <w:rPr>
          <w:rFonts w:ascii="Calibri" w:hAnsi="Calibri"/>
          <w:b/>
          <w:color w:val="000000"/>
          <w:sz w:val="19"/>
        </w:rPr>
        <w:t>Route Efficiency and Cost Management:</w:t>
      </w:r>
      <w:r>
        <w:rPr>
          <w:rFonts w:ascii="Calibri" w:hAnsi="Calibri"/>
          <w:color w:val="1E293B"/>
          <w:sz w:val="19"/>
        </w:rPr>
        <w:t xml:space="preserve"> Analyzed route density, transit constraints, and fuel costs to improve hourly delivery completion rates and strengthen route profitability.</w:t>
      </w:r>
    </w:p>
    <w:tbl>
      <w:tblPr>
        <w:tblW w:type="auto" w:w="0"/>
        <w:jc w:val="center"/>
        <w:tblLayout w:type="fixed"/>
        <w:tblLook w:firstColumn="1" w:firstRow="1" w:lastColumn="0" w:lastRow="0" w:noHBand="0" w:noVBand="1" w:val="04A0"/>
      </w:tblPr>
      <w:tblGrid>
        <w:gridCol w:w="5328"/>
        <w:gridCol w:w="5328"/>
      </w:tblGrid>
      <w:tr>
        <w:tc>
          <w:tcPr>
            <w:tcW w:type="dxa" w:w="7776"/>
            <w:tcMar>
              <w:top w:w="0" w:type="dxa"/>
              <w:bottom w:w="0" w:type="dxa"/>
              <w:left w:w="0" w:type="dxa"/>
              <w:right w:w="0" w:type="dxa"/>
            </w:tcMar>
          </w:tcPr>
          <w:p>
            <w:pPr>
              <w:keepNext/>
              <w:spacing w:before="80" w:after="40"/>
            </w:pPr>
            <w:r>
              <w:rPr>
                <w:rFonts w:ascii="Calibri" w:hAnsi="Calibri"/>
                <w:b/>
                <w:color w:val="000000"/>
                <w:sz w:val="20"/>
              </w:rPr>
              <w:t>Frontline Operations &amp; Dispatch Coordinator</w:t>
            </w:r>
            <w:r>
              <w:rPr>
                <w:rFonts w:ascii="Calibri" w:hAnsi="Calibri"/>
                <w:i/>
                <w:color w:val="1E293B"/>
                <w:sz w:val="20"/>
              </w:rPr>
              <w:t>, Walk-On's Sports Bistreaux — Tallahassee, FL</w:t>
            </w:r>
          </w:p>
        </w:tc>
        <w:tc>
          <w:tcPr>
            <w:tcW w:type="dxa" w:w="2880"/>
            <w:tcMar>
              <w:top w:w="0" w:type="dxa"/>
              <w:bottom w:w="0" w:type="dxa"/>
              <w:left w:w="0" w:type="dxa"/>
              <w:right w:w="0" w:type="dxa"/>
            </w:tcMar>
          </w:tcPr>
          <w:p>
            <w:pPr>
              <w:keepNext/>
              <w:spacing w:before="80" w:after="40"/>
              <w:jc w:val="right"/>
            </w:pPr>
            <w:r>
              <w:rPr>
                <w:rFonts w:ascii="Calibri" w:hAnsi="Calibri"/>
                <w:color w:val="64748B"/>
                <w:sz w:val="19"/>
              </w:rPr>
              <w:t>Jun 2021 – Feb 2025</w:t>
            </w:r>
          </w:p>
        </w:tc>
      </w:tr>
    </w:tbl>
    <w:p>
      <w:pPr>
        <w:pStyle w:val="ListBullet"/>
        <w:spacing w:before="0" w:after="40" w:line="276" w:lineRule="auto"/>
        <w:ind w:left="288"/>
      </w:pPr>
      <w:r>
        <w:rPr>
          <w:rFonts w:ascii="Calibri" w:hAnsi="Calibri"/>
          <w:b/>
          <w:color w:val="000000"/>
          <w:sz w:val="19"/>
        </w:rPr>
        <w:t>Peak-Period Operations Management:</w:t>
      </w:r>
      <w:r>
        <w:rPr>
          <w:rFonts w:ascii="Calibri" w:hAnsi="Calibri"/>
          <w:color w:val="1E293B"/>
          <w:sz w:val="19"/>
        </w:rPr>
        <w:t xml:space="preserve"> Managed guest seating logistics and coordinated 10 to 60 concurrent to-go orders during high-volume game-day periods while maintaining accurate order fulfillment.</w:t>
      </w:r>
    </w:p>
    <w:p>
      <w:pPr>
        <w:pStyle w:val="ListBullet"/>
        <w:spacing w:before="0" w:after="40" w:line="276" w:lineRule="auto"/>
        <w:ind w:left="288"/>
      </w:pPr>
      <w:r>
        <w:rPr>
          <w:rFonts w:ascii="Calibri" w:hAnsi="Calibri"/>
          <w:b/>
          <w:color w:val="000000"/>
          <w:sz w:val="19"/>
        </w:rPr>
        <w:t>Team Training and Process Standardization:</w:t>
      </w:r>
      <w:r>
        <w:rPr>
          <w:rFonts w:ascii="Calibri" w:hAnsi="Calibri"/>
          <w:color w:val="1E293B"/>
          <w:sz w:val="19"/>
        </w:rPr>
        <w:t xml:space="preserve"> Trained and mentored 4 frontline team members, standardizing station setup procedures and reducing new-hire onboarding time by 20%.</w:t>
      </w:r>
    </w:p>
    <w:p>
      <w:pPr>
        <w:keepNext/>
        <w:spacing w:before="160" w:after="60"/>
        <w:pBdr>
          <w:bottom w:val="single" w:sz="6" w:space="2" w:color="000000"/>
        </w:pBdr>
      </w:pPr>
      <w:r>
        <w:rPr>
          <w:rFonts w:ascii="Calibri" w:hAnsi="Calibri"/>
          <w:b/>
          <w:color w:val="000000"/>
          <w:sz w:val="21"/>
        </w:rPr>
        <w:t>EDUCATION, RESEARCH, AND HONORS</w:t>
      </w:r>
    </w:p>
    <w:p>
      <w:pPr>
        <w:spacing w:before="60" w:after="20" w:line="276" w:lineRule="auto"/>
      </w:pPr>
      <w:r>
        <w:rPr>
          <w:rFonts w:ascii="Calibri" w:hAnsi="Calibri"/>
          <w:b/>
          <w:color w:val="000000"/>
          <w:sz w:val="19"/>
        </w:rPr>
        <w:t>Florida State University  —  Bachelor of Science in Marketing</w:t>
      </w:r>
    </w:p>
    <w:p>
      <w:pPr>
        <w:pStyle w:val="ListBullet"/>
        <w:spacing w:before="0" w:after="20" w:line="276" w:lineRule="auto"/>
        <w:ind w:left="288"/>
      </w:pPr>
      <w:r>
        <w:rPr>
          <w:rFonts w:ascii="Calibri" w:hAnsi="Calibri"/>
          <w:b/>
          <w:color w:val="000000"/>
          <w:sz w:val="18"/>
        </w:rPr>
        <w:t xml:space="preserve">Co-Authored Empirical Research: </w:t>
      </w:r>
      <w:r>
        <w:rPr>
          <w:rFonts w:ascii="Calibri" w:hAnsi="Calibri"/>
          <w:color w:val="1E293B"/>
          <w:sz w:val="18"/>
        </w:rPr>
        <w:t>Co-authored a university consumer trust study analyzing institutional decision-making frameworks with statistically significant findings (p &lt; .001).</w:t>
      </w:r>
    </w:p>
    <w:p>
      <w:pPr>
        <w:pStyle w:val="ListBullet"/>
        <w:spacing w:before="0" w:after="40" w:line="276" w:lineRule="auto"/>
        <w:ind w:left="288"/>
      </w:pPr>
      <w:r>
        <w:rPr>
          <w:rFonts w:ascii="Calibri" w:hAnsi="Calibri"/>
          <w:b/>
          <w:color w:val="000000"/>
          <w:sz w:val="18"/>
        </w:rPr>
        <w:t xml:space="preserve">Honors and Professional Credentials: </w:t>
      </w:r>
      <w:r>
        <w:rPr>
          <w:rFonts w:ascii="Calibri" w:hAnsi="Calibri"/>
          <w:color w:val="1E293B"/>
          <w:sz w:val="18"/>
        </w:rPr>
        <w:t>Eagle Scout, Boy Scouts of America   •   Google AI Professional Certification   •   Microsoft Excel Certified   •   Tallahassee State College, AA, Dean's List 3x</w:t>
      </w:r>
    </w:p>
    <w:sectPr w:rsidR="00FC693F" w:rsidRPr="0006063C"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