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8"/>
        </w:rPr>
        <w:t>LANDEN JACKSON</w:t>
      </w:r>
    </w:p>
    <w:p>
      <w:pPr>
        <w:spacing w:before="0" w:after="40"/>
        <w:jc w:val="center"/>
      </w:pPr>
      <w:r>
        <w:rPr>
          <w:rFonts w:ascii="Calibri" w:hAnsi="Calibri"/>
          <w:b/>
          <w:color w:val="15803D"/>
          <w:sz w:val="20"/>
        </w:rPr>
        <w:t>Commercial Strategy &amp; Systematic Operations Leader  •  Human-in-the-Loop Architecture</w:t>
      </w:r>
    </w:p>
    <w:p>
      <w:pPr>
        <w:spacing w:before="0" w:after="80"/>
        <w:jc w:val="center"/>
      </w:pPr>
      <w:r>
        <w:rPr>
          <w:rFonts w:ascii="Calibri" w:hAnsi="Calibri"/>
          <w:color w:val="475569"/>
          <w:sz w:val="18"/>
        </w:rPr>
        <w:t>Tallahassee, FL   •   (850) 459-9148   •   jacksonlanden3986@gmail.com   •   linkedin.com/in/landenjackson   •   www.consultant-studio.app</w:t>
      </w:r>
    </w:p>
    <w:p>
      <w:pPr>
        <w:keepNext/>
        <w:spacing w:before="160" w:after="60"/>
        <w:pBdr>
          <w:bottom w:val="single" w:sz="10" w:space="2" w:color="94A3B8"/>
        </w:pBdr>
      </w:pPr>
      <w:r>
        <w:rPr>
          <w:rFonts w:ascii="Calibri" w:hAnsi="Calibri"/>
          <w:b/>
          <w:color w:val="0F172A"/>
          <w:sz w:val="21"/>
        </w:rPr>
        <w:t>EXECUTIVE PROFILE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>High-conviction Commercial Strategist and Operations Leader specializing in margin defense, empirical data modeling, and high-velocity Human-in-the-Loop workflow architecture. Combines university empirical research validation (p &lt; .001) with disciplined frontline execution—engineering retail customer catchment campaigns that scale foot-traffic +25% while strictly defending 100% full-price gross margins, architecting zero-database client-side operations software, and directing high-density logistics under strict 99% on-time SLAs.</w:t>
      </w:r>
    </w:p>
    <w:p>
      <w:pPr>
        <w:keepNext/>
        <w:spacing w:before="160" w:after="60"/>
        <w:pBdr>
          <w:bottom w:val="single" w:sz="10" w:space="2" w:color="94A3B8"/>
        </w:pBdr>
      </w:pPr>
      <w:r>
        <w:rPr>
          <w:rFonts w:ascii="Calibri" w:hAnsi="Calibri"/>
          <w:b/>
          <w:color w:val="0F172A"/>
          <w:sz w:val="21"/>
        </w:rPr>
        <w:t>CORE COMPETENCIES &amp; TECHNICAL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Commercial Strategy &amp; Revenue:</w:t>
            </w:r>
          </w:p>
        </w:tc>
        <w:tc>
          <w:tcPr>
            <w:tcW w:type="dxa" w:w="7344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Unit Economics, Margin Defense, Retail Catchment Optimization, Consultative Selling, A/B Testing, Pricing Strategy</w:t>
            </w:r>
          </w:p>
        </w:tc>
      </w:tr>
      <w:tr>
        <w:tc>
          <w:tcPr>
            <w:tcW w:type="dxa" w:w="3168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AI &amp; Workflow Systems:</w:t>
            </w:r>
          </w:p>
        </w:tc>
        <w:tc>
          <w:tcPr>
            <w:tcW w:type="dxa" w:w="7344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Human-in-the-Loop Architecture, Multi-Model LLM Routing, Prompt Engineering, Gemini / Claude / OpenAI CLI, Automated Data Pipelines</w:t>
            </w:r>
          </w:p>
        </w:tc>
      </w:tr>
      <w:tr>
        <w:tc>
          <w:tcPr>
            <w:tcW w:type="dxa" w:w="3168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F172A"/>
                <w:sz w:val="18"/>
              </w:rPr>
              <w:t>Analytics &amp; Data Infrastructure:</w:t>
            </w:r>
          </w:p>
        </w:tc>
        <w:tc>
          <w:tcPr>
            <w:tcW w:type="dxa" w:w="7344"/>
            <w:tcMar>
              <w:top w:w="12" w:type="dxa"/>
              <w:bottom w:w="12" w:type="dxa"/>
              <w:left w:w="0" w:type="dxa"/>
              <w:right w:w="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8"/>
              </w:rPr>
              <w:t>Microsoft Excel (Certified), SPSS Statistical Modeling, KPI Dashboards, SheetJS, Cloudflare Zero Trust, POS Ingestion</w:t>
            </w:r>
          </w:p>
        </w:tc>
      </w:tr>
    </w:tbl>
    <w:p>
      <w:pPr>
        <w:keepNext/>
        <w:spacing w:before="160" w:after="60"/>
        <w:pBdr>
          <w:bottom w:val="single" w:sz="10" w:space="2" w:color="94A3B8"/>
        </w:pBdr>
      </w:pPr>
      <w:r>
        <w:rPr>
          <w:rFonts w:ascii="Calibri" w:hAnsi="Calibri"/>
          <w:b/>
          <w:color w:val="0F172A"/>
          <w:sz w:val="21"/>
        </w:rPr>
        <w:t>PROFESSIONAL EXPERIENCE &amp; QUANTIFIED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7632"/>
            <w:tcMar>
              <w:top w:w="15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20"/>
            </w:pPr>
            <w:r>
              <w:rPr>
                <w:rFonts w:ascii="Calibri" w:hAnsi="Calibri"/>
                <w:b/>
                <w:color w:val="0F172A"/>
                <w:sz w:val="20"/>
              </w:rPr>
              <w:t>Lead Marketing Strategist</w:t>
            </w:r>
            <w:r>
              <w:rPr>
                <w:rFonts w:ascii="Calibri" w:hAnsi="Calibri"/>
                <w:color w:val="475569"/>
                <w:sz w:val="19"/>
              </w:rPr>
              <w:t xml:space="preserve">  |  </w:t>
            </w:r>
            <w:r>
              <w:rPr>
                <w:rFonts w:ascii="Calibri" w:hAnsi="Calibri"/>
                <w:b/>
                <w:color w:val="15803D"/>
                <w:sz w:val="20"/>
              </w:rPr>
              <w:t>Ma's Diner — Tallahassee, FL</w:t>
            </w:r>
          </w:p>
        </w:tc>
        <w:tc>
          <w:tcPr>
            <w:tcW w:type="dxa" w:w="2880"/>
            <w:tcMar>
              <w:top w:w="15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20"/>
              <w:jc w:val="right"/>
            </w:pPr>
            <w:r>
              <w:rPr>
                <w:rFonts w:ascii="Calibri" w:hAnsi="Calibri"/>
                <w:b/>
                <w:color w:val="475569"/>
                <w:sz w:val="19"/>
              </w:rPr>
              <w:t>Apr 2025 – Present</w:t>
            </w:r>
          </w:p>
        </w:tc>
      </w:tr>
    </w:tbl>
    <w:p>
      <w:pPr>
        <w:pStyle w:val="ListBullet"/>
        <w:spacing w:before="20" w:after="50" w:line="276" w:lineRule="auto"/>
        <w:ind w:left="288"/>
      </w:pPr>
      <w:r>
        <w:rPr>
          <w:rFonts w:ascii="Calibri" w:hAnsi="Calibri"/>
          <w:b/>
          <w:color w:val="1E293B"/>
          <w:sz w:val="19"/>
        </w:rPr>
        <w:t xml:space="preserve">Margin-Defending Foot-Traffic Growth: </w:t>
      </w:r>
      <w:r>
        <w:rPr>
          <w:rFonts w:ascii="Calibri" w:hAnsi="Calibri"/>
          <w:color w:val="1E293B"/>
          <w:sz w:val="19"/>
        </w:rPr>
        <w:t>Engineered targeted neighborhood acquisition campaigns (Analog Connection / Community Huddle), driving a verified 25% lift in weekday foot-traffic over an 8-week launch window while defending 100% full-price gross margins by eliminating coupon discounting.</w:t>
      </w:r>
    </w:p>
    <w:p>
      <w:pPr>
        <w:pStyle w:val="ListBullet"/>
        <w:spacing w:before="20" w:after="50" w:line="276" w:lineRule="auto"/>
        <w:ind w:left="288"/>
      </w:pPr>
      <w:r>
        <w:rPr>
          <w:rFonts w:ascii="Calibri" w:hAnsi="Calibri"/>
          <w:b/>
          <w:color w:val="1E293B"/>
          <w:sz w:val="19"/>
        </w:rPr>
        <w:t xml:space="preserve">Trade-Area Demographics &amp; Spatial Capture: </w:t>
      </w:r>
      <w:r>
        <w:rPr>
          <w:rFonts w:ascii="Calibri" w:hAnsi="Calibri"/>
          <w:color w:val="1E293B"/>
          <w:sz w:val="19"/>
        </w:rPr>
        <w:t>Audited trade-area competitor pricing and commuter walk-shed geometry, deploying print collateral across local high-density touchpoints to establish a 5% repeat resident customer baseline with zero customer acquisition margin dilution.</w:t>
      </w:r>
    </w:p>
    <w:p>
      <w:pPr>
        <w:pStyle w:val="ListBullet"/>
        <w:spacing w:before="20" w:after="50" w:line="276" w:lineRule="auto"/>
        <w:ind w:left="288"/>
      </w:pPr>
      <w:r>
        <w:rPr>
          <w:rFonts w:ascii="Calibri" w:hAnsi="Calibri"/>
          <w:b/>
          <w:color w:val="1E293B"/>
          <w:sz w:val="19"/>
        </w:rPr>
        <w:t xml:space="preserve">Frontline Kitchen Flow &amp; P&amp;L Alignment: </w:t>
      </w:r>
      <w:r>
        <w:rPr>
          <w:rFonts w:ascii="Calibri" w:hAnsi="Calibri"/>
          <w:color w:val="1E293B"/>
          <w:sz w:val="19"/>
        </w:rPr>
        <w:t>Restructured prep and expo sequencing with ownership, collapsing table ticket turnaround from 8 to 5 minutes to unlock +3 covers/hour during peak rush windows and align customer surges directly with back-of-house capacity.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7632"/>
            <w:tcMar>
              <w:top w:w="15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20"/>
            </w:pPr>
            <w:r>
              <w:rPr>
                <w:rFonts w:ascii="Calibri" w:hAnsi="Calibri"/>
                <w:b/>
                <w:color w:val="0F172A"/>
                <w:sz w:val="20"/>
              </w:rPr>
              <w:t>Founder &amp; Strategic Operator</w:t>
            </w:r>
            <w:r>
              <w:rPr>
                <w:rFonts w:ascii="Calibri" w:hAnsi="Calibri"/>
                <w:color w:val="475569"/>
                <w:sz w:val="19"/>
              </w:rPr>
              <w:t xml:space="preserve">  |  </w:t>
            </w:r>
            <w:r>
              <w:rPr>
                <w:rFonts w:ascii="Calibri" w:hAnsi="Calibri"/>
                <w:b/>
                <w:color w:val="15803D"/>
                <w:sz w:val="20"/>
              </w:rPr>
              <w:t>Consultant Studio (www.consultant-studio.app)</w:t>
            </w:r>
          </w:p>
        </w:tc>
        <w:tc>
          <w:tcPr>
            <w:tcW w:type="dxa" w:w="2880"/>
            <w:tcMar>
              <w:top w:w="15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20"/>
              <w:jc w:val="right"/>
            </w:pPr>
            <w:r>
              <w:rPr>
                <w:rFonts w:ascii="Calibri" w:hAnsi="Calibri"/>
                <w:b/>
                <w:color w:val="475569"/>
                <w:sz w:val="19"/>
              </w:rPr>
              <w:t>2025 – Present</w:t>
            </w:r>
          </w:p>
        </w:tc>
      </w:tr>
    </w:tbl>
    <w:p>
      <w:pPr>
        <w:pStyle w:val="ListBullet"/>
        <w:spacing w:before="20" w:after="50" w:line="276" w:lineRule="auto"/>
        <w:ind w:left="288"/>
      </w:pPr>
      <w:r>
        <w:rPr>
          <w:rFonts w:ascii="Calibri" w:hAnsi="Calibri"/>
          <w:b/>
          <w:color w:val="1E293B"/>
          <w:sz w:val="19"/>
        </w:rPr>
        <w:t xml:space="preserve">Operations &amp; Strategy Suite Architecture: </w:t>
      </w:r>
      <w:r>
        <w:rPr>
          <w:rFonts w:ascii="Calibri" w:hAnsi="Calibri"/>
          <w:color w:val="1E293B"/>
          <w:sz w:val="19"/>
        </w:rPr>
        <w:t>Architected and launched a real-time executive operations suite delivering 13-week cash flow modeling, forensic P&amp;L margin triage, and automated 1-click boardroom deliverable exports in sub-3-second execution cycles.</w:t>
      </w:r>
    </w:p>
    <w:p>
      <w:pPr>
        <w:pStyle w:val="ListBullet"/>
        <w:spacing w:before="20" w:after="50" w:line="276" w:lineRule="auto"/>
        <w:ind w:left="288"/>
      </w:pPr>
      <w:r>
        <w:rPr>
          <w:rFonts w:ascii="Calibri" w:hAnsi="Calibri"/>
          <w:b/>
          <w:color w:val="1E293B"/>
          <w:sz w:val="19"/>
        </w:rPr>
        <w:t xml:space="preserve">Zero-Database Client-Side Privacy Stack: </w:t>
      </w:r>
      <w:r>
        <w:rPr>
          <w:rFonts w:ascii="Calibri" w:hAnsi="Calibri"/>
          <w:color w:val="1E293B"/>
          <w:sz w:val="19"/>
        </w:rPr>
        <w:t>Engineered local client ingestion for .docx, .pdf, and .xlsx files with 100% client-side encryption and zero cloud database dependency, embedding interactive What-If sensitivity recalculation and instant Word/Excel/PowerPoint generation.</w:t>
      </w:r>
    </w:p>
    <w:p>
      <w:pPr>
        <w:pStyle w:val="ListBullet"/>
        <w:spacing w:before="20" w:after="50" w:line="276" w:lineRule="auto"/>
        <w:ind w:left="288"/>
      </w:pPr>
      <w:r>
        <w:rPr>
          <w:rFonts w:ascii="Calibri" w:hAnsi="Calibri"/>
          <w:b/>
          <w:color w:val="1E293B"/>
          <w:sz w:val="19"/>
        </w:rPr>
        <w:t xml:space="preserve">Turnaround Telemetry &amp; Market Validation: </w:t>
      </w:r>
      <w:r>
        <w:rPr>
          <w:rFonts w:ascii="Calibri" w:hAnsi="Calibri"/>
          <w:color w:val="1E293B"/>
          <w:sz w:val="19"/>
        </w:rPr>
        <w:t>Built proprietary operational diagnostic workflows that benchmark unit physics, isolate variable vs. fixed overhead leaks, and generate institutional debt covenant bridge memos.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7632"/>
            <w:tcMar>
              <w:top w:w="15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20"/>
            </w:pPr>
            <w:r>
              <w:rPr>
                <w:rFonts w:ascii="Calibri" w:hAnsi="Calibri"/>
                <w:b/>
                <w:color w:val="0F172A"/>
                <w:sz w:val="20"/>
              </w:rPr>
              <w:t>Operations &amp; Dispatch Lead</w:t>
            </w:r>
            <w:r>
              <w:rPr>
                <w:rFonts w:ascii="Calibri" w:hAnsi="Calibri"/>
                <w:color w:val="475569"/>
                <w:sz w:val="19"/>
              </w:rPr>
              <w:t xml:space="preserve">  |  </w:t>
            </w:r>
            <w:r>
              <w:rPr>
                <w:rFonts w:ascii="Calibri" w:hAnsi="Calibri"/>
                <w:b/>
                <w:color w:val="15803D"/>
                <w:sz w:val="20"/>
              </w:rPr>
              <w:t>Independent Micro-Logistics — Tallahassee, FL</w:t>
            </w:r>
          </w:p>
        </w:tc>
        <w:tc>
          <w:tcPr>
            <w:tcW w:type="dxa" w:w="2880"/>
            <w:tcMar>
              <w:top w:w="15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20"/>
              <w:jc w:val="right"/>
            </w:pPr>
            <w:r>
              <w:rPr>
                <w:rFonts w:ascii="Calibri" w:hAnsi="Calibri"/>
                <w:b/>
                <w:color w:val="475569"/>
                <w:sz w:val="19"/>
              </w:rPr>
              <w:t>May 2025 – Present</w:t>
            </w:r>
          </w:p>
        </w:tc>
      </w:tr>
    </w:tbl>
    <w:p>
      <w:pPr>
        <w:pStyle w:val="ListBullet"/>
        <w:spacing w:before="20" w:after="50" w:line="276" w:lineRule="auto"/>
        <w:ind w:left="288"/>
      </w:pPr>
      <w:r>
        <w:rPr>
          <w:rFonts w:ascii="Calibri" w:hAnsi="Calibri"/>
          <w:b/>
          <w:color w:val="1E293B"/>
          <w:sz w:val="19"/>
        </w:rPr>
        <w:t xml:space="preserve">High-Volume SLA Execution: </w:t>
      </w:r>
      <w:r>
        <w:rPr>
          <w:rFonts w:ascii="Calibri" w:hAnsi="Calibri"/>
          <w:color w:val="1E293B"/>
          <w:sz w:val="19"/>
        </w:rPr>
        <w:t>Executed 800+ time-critical fulfillment deliveries across high-volatility peak demand windows, sustaining a 99% on-time completion rate and &gt;90% customer satisfaction rating.</w:t>
      </w:r>
    </w:p>
    <w:p>
      <w:pPr>
        <w:pStyle w:val="ListBullet"/>
        <w:spacing w:before="20" w:after="50" w:line="276" w:lineRule="auto"/>
        <w:ind w:left="288"/>
      </w:pPr>
      <w:r>
        <w:rPr>
          <w:rFonts w:ascii="Calibri" w:hAnsi="Calibri"/>
          <w:b/>
          <w:color w:val="1E293B"/>
          <w:sz w:val="19"/>
        </w:rPr>
        <w:t xml:space="preserve">Yield &amp; Route Density Optimization: </w:t>
      </w:r>
      <w:r>
        <w:rPr>
          <w:rFonts w:ascii="Calibri" w:hAnsi="Calibri"/>
          <w:color w:val="1E293B"/>
          <w:sz w:val="19"/>
        </w:rPr>
        <w:t>Analyzed multi-point route density, transit bottlenecks, and fuel-to-yield unit economics to maximize hourly delivery completion velocity and improve net route contribution.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7632"/>
            <w:tcMar>
              <w:top w:w="15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20"/>
            </w:pPr>
            <w:r>
              <w:rPr>
                <w:rFonts w:ascii="Calibri" w:hAnsi="Calibri"/>
                <w:b/>
                <w:color w:val="0F172A"/>
                <w:sz w:val="20"/>
              </w:rPr>
              <w:t>Frontline Operations &amp; Dispatch Coordinator</w:t>
            </w:r>
            <w:r>
              <w:rPr>
                <w:rFonts w:ascii="Calibri" w:hAnsi="Calibri"/>
                <w:color w:val="475569"/>
                <w:sz w:val="19"/>
              </w:rPr>
              <w:t xml:space="preserve">  |  </w:t>
            </w:r>
            <w:r>
              <w:rPr>
                <w:rFonts w:ascii="Calibri" w:hAnsi="Calibri"/>
                <w:b/>
                <w:color w:val="15803D"/>
                <w:sz w:val="20"/>
              </w:rPr>
              <w:t>Walk-On's Sports Bistreaux — Tallahassee, FL</w:t>
            </w:r>
          </w:p>
        </w:tc>
        <w:tc>
          <w:tcPr>
            <w:tcW w:type="dxa" w:w="2880"/>
            <w:tcMar>
              <w:top w:w="15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80" w:after="20"/>
              <w:jc w:val="right"/>
            </w:pPr>
            <w:r>
              <w:rPr>
                <w:rFonts w:ascii="Calibri" w:hAnsi="Calibri"/>
                <w:b/>
                <w:color w:val="475569"/>
                <w:sz w:val="19"/>
              </w:rPr>
              <w:t>Jun 2021 – Feb 2025</w:t>
            </w:r>
          </w:p>
        </w:tc>
      </w:tr>
    </w:tbl>
    <w:p>
      <w:pPr>
        <w:pStyle w:val="ListBullet"/>
        <w:spacing w:before="20" w:after="50" w:line="276" w:lineRule="auto"/>
        <w:ind w:left="288"/>
      </w:pPr>
      <w:r>
        <w:rPr>
          <w:rFonts w:ascii="Calibri" w:hAnsi="Calibri"/>
          <w:b/>
          <w:color w:val="1E293B"/>
          <w:sz w:val="19"/>
        </w:rPr>
        <w:t xml:space="preserve">High-Capacity Peak Flow Management: </w:t>
      </w:r>
      <w:r>
        <w:rPr>
          <w:rFonts w:ascii="Calibri" w:hAnsi="Calibri"/>
          <w:color w:val="1E293B"/>
          <w:sz w:val="19"/>
        </w:rPr>
        <w:t>Orchestrated guest seating logistics and directed 10–60 concurrent to-go fulfillment orders during high-capacity game-day volume surges with a zero-defect order error rate.</w:t>
      </w:r>
    </w:p>
    <w:p>
      <w:pPr>
        <w:pStyle w:val="ListBullet"/>
        <w:spacing w:before="20" w:after="50" w:line="276" w:lineRule="auto"/>
        <w:ind w:left="288"/>
      </w:pPr>
      <w:r>
        <w:rPr>
          <w:rFonts w:ascii="Calibri" w:hAnsi="Calibri"/>
          <w:b/>
          <w:color w:val="1E293B"/>
          <w:sz w:val="19"/>
        </w:rPr>
        <w:t xml:space="preserve">Frontline Team Training &amp; Standardization: </w:t>
      </w:r>
      <w:r>
        <w:rPr>
          <w:rFonts w:ascii="Calibri" w:hAnsi="Calibri"/>
          <w:color w:val="1E293B"/>
          <w:sz w:val="19"/>
        </w:rPr>
        <w:t>Trained and mentored 4 frontline team members, standardizing station staging workflows and cutting new-hire onboarding cycle time by 20%.</w:t>
      </w:r>
    </w:p>
    <w:p>
      <w:pPr>
        <w:keepNext/>
        <w:spacing w:before="160" w:after="60"/>
        <w:pBdr>
          <w:bottom w:val="single" w:sz="10" w:space="2" w:color="94A3B8"/>
        </w:pBdr>
      </w:pPr>
      <w:r>
        <w:rPr>
          <w:rFonts w:ascii="Calibri" w:hAnsi="Calibri"/>
          <w:b/>
          <w:color w:val="0F172A"/>
          <w:sz w:val="21"/>
        </w:rPr>
        <w:t>EDUCATION, EMPIRICAL RESEARCH &amp; HONORS</w:t>
      </w:r>
    </w:p>
    <w:p>
      <w:pPr>
        <w:spacing w:before="60" w:after="40" w:line="276" w:lineRule="auto"/>
      </w:pPr>
      <w:r>
        <w:rPr>
          <w:rFonts w:ascii="Calibri" w:hAnsi="Calibri"/>
          <w:b/>
          <w:color w:val="0F172A"/>
          <w:sz w:val="19"/>
        </w:rPr>
        <w:t>Florida State University  —  Bachelor of Science in Marketing</w:t>
        <w:br/>
      </w:r>
      <w:r>
        <w:rPr>
          <w:rFonts w:ascii="Calibri" w:hAnsi="Calibri"/>
          <w:b/>
          <w:color w:val="1E293B"/>
          <w:sz w:val="18"/>
        </w:rPr>
        <w:t xml:space="preserve">• Co-Authored Empirical Research: </w:t>
      </w:r>
      <w:r>
        <w:rPr>
          <w:rFonts w:ascii="Calibri" w:hAnsi="Calibri"/>
          <w:color w:val="1E293B"/>
          <w:sz w:val="18"/>
        </w:rPr>
        <w:t>Co-authored university consumer trust study analyzing institutional decision-making frameworks with statistically validated findings (p &lt; .001).</w:t>
        <w:br/>
      </w:r>
      <w:r>
        <w:rPr>
          <w:rFonts w:ascii="Calibri" w:hAnsi="Calibri"/>
          <w:b/>
          <w:color w:val="1E293B"/>
          <w:sz w:val="18"/>
        </w:rPr>
        <w:t xml:space="preserve">• Honors &amp; Professional Credentials: </w:t>
      </w:r>
      <w:r>
        <w:rPr>
          <w:rFonts w:ascii="Calibri" w:hAnsi="Calibri"/>
          <w:color w:val="1E293B"/>
          <w:sz w:val="18"/>
        </w:rPr>
        <w:t>Eagle Scout (Boy Scouts of America)   •   Google AI Professional Certification   •   Microsoft Excel Certified   •   Tallahassee State College (AA, Dean's List 3x)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