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0F172A"/>
          <w:sz w:val="36"/>
        </w:rPr>
        <w:t>LANDEN JACKSON</w:t>
      </w:r>
    </w:p>
    <w:p>
      <w:pPr>
        <w:spacing w:after="120"/>
      </w:pPr>
      <w:r>
        <w:rPr>
          <w:color w:val="64748B"/>
          <w:sz w:val="18"/>
        </w:rPr>
        <w:t>Tallahassee, FL  •  (850) 459-9148  •  jacksonlanden3986@gmail.com  •  linkedin.com/in/landenjackson  •  www.consultant-studio.app</w:t>
      </w:r>
    </w:p>
    <w:p>
      <w:pPr>
        <w:keepNext/>
        <w:spacing w:before="160" w:after="40"/>
      </w:pPr>
      <w:r>
        <w:rPr>
          <w:b/>
          <w:color w:val="0F172A"/>
          <w:sz w:val="21"/>
        </w:rPr>
        <w:t>EXECUTIVE PROFILE</w:t>
      </w:r>
    </w:p>
    <w:p>
      <w:pPr>
        <w:spacing w:after="120" w:line="276" w:lineRule="auto"/>
      </w:pPr>
      <w:r>
        <w:rPr>
          <w:color w:val="334155"/>
          <w:sz w:val="19"/>
        </w:rPr>
        <w:t>Commercial Strategy &amp; Systematic Operations Leader specializing in margin defense, empirical data modeling, and high-velocity Human-in-the-Loop workflow architecture. Combines statistically significant research rigor (p &lt; .001) with ruthless frontline execution—scaling retail foot-traffic +25–30% without margin-diluting discounts, architecting zero-database client-side operations platforms, and managing high-density logistics under strict 99% on-time SLAs.</w:t>
      </w:r>
    </w:p>
    <w:p>
      <w:pPr>
        <w:keepNext/>
        <w:spacing w:before="160" w:after="40"/>
      </w:pPr>
      <w:r>
        <w:rPr>
          <w:b/>
          <w:color w:val="0F172A"/>
          <w:sz w:val="21"/>
        </w:rPr>
        <w:t>CORE COMPETENCIES &amp; TECHNICAL STACK</w:t>
      </w:r>
    </w:p>
    <w:p>
      <w:pPr>
        <w:spacing w:after="120" w:line="276" w:lineRule="auto"/>
      </w:pPr>
      <w:r>
        <w:rPr>
          <w:b/>
          <w:sz w:val="18"/>
        </w:rPr>
        <w:t xml:space="preserve">Commercial Strategy &amp; Revenue: </w:t>
      </w:r>
      <w:r>
        <w:rPr>
          <w:sz w:val="18"/>
        </w:rPr>
        <w:t>Unit Economics, Margin Defense, Retail Catchment Optimization, Consultative Selling, A/B Testing, Pricing Architecture</w:t>
        <w:br/>
      </w:r>
      <w:r>
        <w:rPr>
          <w:b/>
          <w:sz w:val="18"/>
        </w:rPr>
        <w:t xml:space="preserve">AI &amp; Workflow Architecture: </w:t>
      </w:r>
      <w:r>
        <w:rPr>
          <w:sz w:val="18"/>
        </w:rPr>
        <w:t>Human-in-the-Loop Systems, Multi-Model Routing, Prompt Engineering, Gemini / Claude / OpenAI CLI, Automated Pipelines</w:t>
        <w:br/>
      </w:r>
      <w:r>
        <w:rPr>
          <w:b/>
          <w:sz w:val="18"/>
        </w:rPr>
        <w:t xml:space="preserve">Analytics &amp; Platforms: </w:t>
      </w:r>
      <w:r>
        <w:rPr>
          <w:sz w:val="18"/>
        </w:rPr>
        <w:t>Microsoft Excel (Certified), SPSS Statistical Modeling, KPI Dashboards, SheetJS, Cloudflare Zero Trust, POS Ingestion</w:t>
      </w:r>
    </w:p>
    <w:p>
      <w:pPr>
        <w:keepNext/>
        <w:spacing w:before="160" w:after="40"/>
      </w:pPr>
      <w:r>
        <w:rPr>
          <w:b/>
          <w:color w:val="0F172A"/>
          <w:sz w:val="21"/>
        </w:rPr>
        <w:t>PROFESSIONAL EXPERIENCE &amp; OPERATIONAL IMPACT</w:t>
      </w:r>
    </w:p>
    <w:p>
      <w:pPr>
        <w:spacing w:before="80" w:after="40"/>
      </w:pPr>
      <w:r>
        <w:rPr>
          <w:b/>
          <w:sz w:val="20"/>
        </w:rPr>
        <w:t>Lead Marketing Strategist | Ma's Diner — Tallahassee, FL</w:t>
      </w:r>
      <w:r>
        <w:rPr>
          <w:color w:val="64748B"/>
          <w:sz w:val="18"/>
        </w:rPr>
        <w:tab/>
        <w:t>(Apr 2025 – Present)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 xml:space="preserve">Margin-Defending Foot-Traffic Growth: </w:t>
      </w:r>
      <w:r>
        <w:rPr>
          <w:color w:val="334155"/>
          <w:sz w:val="19"/>
        </w:rPr>
        <w:t>Engineered targeted neighborhood acquisition campaigns (Analog Connection / Community Huddle), driving a verified 25% lift in weekday customer foot traffic over 8 weeks while defending 100% full-price gross margins by strictly eliminating coupon discounting.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 xml:space="preserve">Trade-Area Capture &amp; Retention: </w:t>
      </w:r>
      <w:r>
        <w:rPr>
          <w:color w:val="334155"/>
          <w:sz w:val="19"/>
        </w:rPr>
        <w:t>Audited trade-area catchment and competitor pricing geometry, synchronizing offline print collateral with community touchpoints to establish a 5% repeat resident customer baseline without margin erosion.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 xml:space="preserve">Frontline Kitchen Flow &amp; P&amp;L Alignment: </w:t>
      </w:r>
      <w:r>
        <w:rPr>
          <w:color w:val="334155"/>
          <w:sz w:val="19"/>
        </w:rPr>
        <w:t>Collaborated directly with ownership to streamline order sequencing and service pacing, reducing peak friction and aligning marketing surges with kitchen fulfillment capacity.</w:t>
      </w:r>
    </w:p>
    <w:p>
      <w:pPr>
        <w:spacing w:before="80" w:after="40"/>
      </w:pPr>
      <w:r>
        <w:rPr>
          <w:b/>
          <w:sz w:val="20"/>
        </w:rPr>
        <w:t>Founder &amp; Strategic Operator | Consultant Studio (www.consultant-studio.app)</w:t>
      </w:r>
      <w:r>
        <w:rPr>
          <w:color w:val="64748B"/>
          <w:sz w:val="18"/>
        </w:rPr>
        <w:tab/>
        <w:t>(2025 – Present)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 xml:space="preserve">Operations &amp; Strategy Platform Architecture: </w:t>
      </w:r>
      <w:r>
        <w:rPr>
          <w:color w:val="334155"/>
          <w:sz w:val="19"/>
        </w:rPr>
        <w:t>Architected and deployed a real-time executive strategy and operations suite, delivering instant 13-week cash flow modeling, P&amp;L margin triage, and 1-click C-suite deliverable generation in under 3 seconds.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 xml:space="preserve">Zero-Database Client-Side Stack: </w:t>
      </w:r>
      <w:r>
        <w:rPr>
          <w:color w:val="334155"/>
          <w:sz w:val="19"/>
        </w:rPr>
        <w:t>Engineered local client ingestion for .docx, .pdf, and .xlsx files with 100% client-side encryption and zero cloud database dependency, embedding interactive What-If sensitivity sliders and instant Word/Excel/PowerPoint exports.</w:t>
      </w:r>
    </w:p>
    <w:p>
      <w:pPr>
        <w:spacing w:before="80" w:after="40"/>
      </w:pPr>
      <w:r>
        <w:rPr>
          <w:b/>
          <w:sz w:val="20"/>
        </w:rPr>
        <w:t>Operations &amp; Dispatch Lead | Independent Micro-Logistics — Tallahassee, FL</w:t>
      </w:r>
      <w:r>
        <w:rPr>
          <w:color w:val="64748B"/>
          <w:sz w:val="18"/>
        </w:rPr>
        <w:tab/>
        <w:t>(May 2025 – Present)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 xml:space="preserve">High-Volume SLA Execution: </w:t>
      </w:r>
      <w:r>
        <w:rPr>
          <w:color w:val="334155"/>
          <w:sz w:val="19"/>
        </w:rPr>
        <w:t>Executed 800+ time-critical fulfillment deliveries under high-volatility peak conditions, sustaining a 99% on-time completion rate and &gt;90% customer satisfaction score.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 xml:space="preserve">Yield &amp; Route Optimization: </w:t>
      </w:r>
      <w:r>
        <w:rPr>
          <w:color w:val="334155"/>
          <w:sz w:val="19"/>
        </w:rPr>
        <w:t>Analyzed route density analytics, transit bottlenecks, and fuel-to-yield unit economics to maximize hourly delivery fulfillment and net route contribution.</w:t>
      </w:r>
    </w:p>
    <w:p>
      <w:pPr>
        <w:spacing w:before="80" w:after="40"/>
      </w:pPr>
      <w:r>
        <w:rPr>
          <w:b/>
          <w:sz w:val="20"/>
        </w:rPr>
        <w:t>Frontline Operations &amp; Dispatch Coordinator | Walk-On's Sports Bistreaux — Tallahassee, FL</w:t>
      </w:r>
      <w:r>
        <w:rPr>
          <w:color w:val="64748B"/>
          <w:sz w:val="18"/>
        </w:rPr>
        <w:tab/>
        <w:t>(Jun 2021 – Feb 2025)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 xml:space="preserve">High-Capacity Peak Fulfillment: </w:t>
      </w:r>
      <w:r>
        <w:rPr>
          <w:color w:val="334155"/>
          <w:sz w:val="19"/>
        </w:rPr>
        <w:t>Orchestrated guest seating logistics and managed 10–60 concurrent to-go fulfillment orders during high-capacity peak volume windows with a zero-defect order error rate.</w:t>
      </w:r>
    </w:p>
    <w:p>
      <w:pPr>
        <w:pStyle w:val="ListBullet"/>
        <w:spacing w:before="20" w:after="40" w:line="269" w:lineRule="auto"/>
      </w:pPr>
      <w:r>
        <w:rPr>
          <w:b/>
          <w:color w:val="0F172A"/>
          <w:sz w:val="19"/>
        </w:rPr>
        <w:t xml:space="preserve">Frontline Team Training &amp; Standardization: </w:t>
      </w:r>
      <w:r>
        <w:rPr>
          <w:color w:val="334155"/>
          <w:sz w:val="19"/>
        </w:rPr>
        <w:t>Trained and mentored 4 frontline associates, standardizing station staging workflows and cutting new-hire onboarding time by 20%.</w:t>
      </w:r>
    </w:p>
    <w:p>
      <w:pPr>
        <w:keepNext/>
        <w:spacing w:before="160" w:after="40"/>
      </w:pPr>
      <w:r>
        <w:rPr>
          <w:b/>
          <w:color w:val="0F172A"/>
          <w:sz w:val="21"/>
        </w:rPr>
        <w:t>EDUCATION, RESEARCH &amp; HONORS</w:t>
      </w:r>
    </w:p>
    <w:p>
      <w:pPr>
        <w:spacing w:after="40"/>
      </w:pPr>
      <w:r>
        <w:rPr>
          <w:b/>
          <w:sz w:val="19"/>
        </w:rPr>
        <w:t>Florida State University — Bachelor of Science in Marketing</w:t>
      </w:r>
      <w:r>
        <w:rPr>
          <w:color w:val="334155"/>
          <w:sz w:val="18"/>
        </w:rPr>
        <w:br/>
        <w:t>• Co-Authored Empirical Research: Co-authored university consumer trust study analyzing institutional decision-making frameworks with statistically validated findings (p &lt; .001).</w:t>
        <w:br/>
        <w:t>• Credentials &amp; Honors: Eagle Scout (Boy Scouts of America)  •  Google AI Professional Certification  •  Microsoft Excel Certified  •  Tallahassee State College (AA, Dean's List 3x)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