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8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 •  Systems &amp; Revenue Growth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9"/>
        </w:rPr>
        <w:t>Operations and local marketing manager with a proven record of increasing retail foot traffic, protecting profit margins, and streamlining frontline service. Combines data-driven financial modeling with hands-on floor management to cut turnaround times, eliminate order errors during peak rushes, and build automated operational tools.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Pricing Strategy, Promotional ROI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Ingestion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Consultant Studio</w:t>
            </w:r>
            <w:r>
              <w:rPr>
                <w:rFonts w:ascii="Calibri" w:hAnsi="Calibri"/>
                <w:i/>
                <w:color w:val="505F73"/>
                <w:sz w:val="19"/>
              </w:rPr>
              <w:t xml:space="preserve">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 Data Security:</w:t>
      </w:r>
      <w:r>
        <w:rPr>
          <w:rFonts w:ascii="Calibri" w:hAnsi="Calibri"/>
          <w:color w:val="1E293B"/>
          <w:sz w:val="19"/>
        </w:rPr>
        <w:t xml:space="preserve"> Built browser-side file parsing for .xlsx and .pdf statements, allowing instant sensitivity analysis without third-party cloud data exposure.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Ma's Diner</w:t>
            </w:r>
            <w:r>
              <w:rPr>
                <w:rFonts w:ascii="Calibri" w:hAnsi="Calibri"/>
                <w:i/>
                <w:color w:val="505F73"/>
                <w:sz w:val="19"/>
              </w:rPr>
              <w:t xml:space="preserve">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Designed and executed a grassroots local marketing campaign, lifting weekday lunch foot traffic by 25% over 8 weeks while maintaining 100% full-price menu margins.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Neighborhood Market Strategy: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and direct outreach to build a 5% repeat local customer baseline.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&amp; Service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unlocking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Operations &amp; Dispatch Lead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Independent Logistics (DoorDash &amp; Uber)</w:t>
            </w:r>
            <w:r>
              <w:rPr>
                <w:rFonts w:ascii="Calibri" w:hAnsi="Calibri"/>
                <w:i/>
                <w:color w:val="505F73"/>
                <w:sz w:val="19"/>
              </w:rPr>
              <w:t xml:space="preserve">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Service Execution:</w:t>
      </w:r>
      <w:r>
        <w:rPr>
          <w:rFonts w:ascii="Calibri" w:hAnsi="Calibri"/>
          <w:color w:val="1E293B"/>
          <w:sz w:val="19"/>
        </w:rPr>
        <w:t xml:space="preserve"> Completed 800+ time-sensitive fulfillment deliveries during peak demand periods while maintaining a 99% on-time completion rate and a customer satisfaction rating above 90%.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Route Efficiency &amp; Cost Management:</w:t>
      </w:r>
      <w:r>
        <w:rPr>
          <w:rFonts w:ascii="Calibri" w:hAnsi="Calibri"/>
          <w:color w:val="1E293B"/>
          <w:sz w:val="19"/>
        </w:rPr>
        <w:t xml:space="preserve"> Analyzed route density, transit constraints, and fuel costs to improve hourly delivery completion rates and strengthen route profitability.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Shift Lead &amp; Operations Coordinator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Walk-On's Sports Bistreaux</w:t>
            </w:r>
            <w:r>
              <w:rPr>
                <w:rFonts w:ascii="Calibri" w:hAnsi="Calibri"/>
                <w:i/>
                <w:color w:val="505F73"/>
                <w:sz w:val="19"/>
              </w:rPr>
              <w:t xml:space="preserve">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Peak Volume Management:</w:t>
      </w:r>
      <w:r>
        <w:rPr>
          <w:rFonts w:ascii="Calibri" w:hAnsi="Calibri"/>
          <w:color w:val="1E293B"/>
          <w:sz w:val="19"/>
        </w:rPr>
        <w:t xml:space="preserve"> Managed floor seating logistics and directed 10–60 concurrent to-go and delivery orders during high-volume game days with zero order-accuracy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Standardization:</w:t>
      </w:r>
      <w:r>
        <w:rPr>
          <w:rFonts w:ascii="Calibri" w:hAnsi="Calibri"/>
          <w:color w:val="1E293B"/>
          <w:sz w:val="19"/>
        </w:rPr>
        <w:t xml:space="preserve"> Trained and onboarded new frontline staff across high-volume shifts, standardizing station setup checklists and cutting new-hire onboarding time by 20%.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Bachelor of Science in Marketing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Florida State University</w:t>
            </w:r>
            <w:r>
              <w:rPr>
                <w:rFonts w:ascii="Calibri" w:hAnsi="Calibri"/>
                <w:i/>
                <w:color w:val="505F73"/>
                <w:sz w:val="19"/>
              </w:rPr>
              <w:t xml:space="preserve">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Graduation: Dec 2024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on institutional decision-making frameworks (p &lt; .001).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6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Associate of Arts (AA)</w:t>
            </w:r>
            <w:r>
              <w:rPr>
                <w:rFonts w:ascii="Calibri" w:hAnsi="Calibri"/>
                <w:b/>
                <w:color w:val="1E293B"/>
                <w:sz w:val="20"/>
              </w:rPr>
              <w:t xml:space="preserve"> | Tallahassee State College</w:t>
            </w:r>
            <w:r>
              <w:rPr>
                <w:rFonts w:ascii="Calibri" w:hAnsi="Calibri"/>
                <w:i/>
                <w:color w:val="505F73"/>
                <w:sz w:val="19"/>
              </w:rPr>
              <w:t xml:space="preserve"> — Tallahassee, FL</w:t>
            </w:r>
          </w:p>
        </w:tc>
        <w:tc>
          <w:tcPr>
            <w:tcW w:type="dxa" w:w="21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Dean's List (3x)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Honors &amp; Certifications:</w:t>
      </w:r>
      <w:r>
        <w:rPr>
          <w:rFonts w:ascii="Calibri" w:hAnsi="Calibri"/>
          <w:color w:val="1E293B"/>
          <w:sz w:val="19"/>
        </w:rPr>
        <w:t xml:space="preserve"> Eagle Scout (Boy Scouts of America)   •   Google AI Professional Certificate   •   Advanced Microsoft Excel Certified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