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Neighborhood Market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Frontline Operations &amp; Shift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Standardization:</w:t>
      </w:r>
      <w:r>
        <w:rPr>
          <w:rFonts w:ascii="Calibri" w:hAnsi="Calibri"/>
          <w:color w:val="1E293B"/>
          <w:sz w:val="19"/>
        </w:rPr>
        <w:t xml:space="preserve"> Trained and onboarded new frontline staff across high-volume shifts, standardizing station setup checklists and cutting new-hire onboarding time by 20%.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Dispatch &amp; Route Logistics:</w:t>
      </w:r>
      <w:r>
        <w:rPr>
          <w:rFonts w:ascii="Calibri" w:hAnsi="Calibri"/>
          <w:color w:val="1E293B"/>
          <w:sz w:val="19"/>
        </w:rPr>
        <w:t xml:space="preserve"> Handled high-volume fulfillment and route timing across 800+ peak deliveries, maintaining a 99% on-time completion rate.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00000"/>
          <w:sz w:val="19"/>
        </w:rPr>
        <w:t>Bachelor of Science in Marketing | Florida State University</w:t>
        <w:tab/>
        <w:t>Tallahassee, FL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